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A749" w14:textId="749FA81E" w:rsidR="00172A5E" w:rsidRPr="009B7FEE" w:rsidRDefault="000E4F9F" w:rsidP="00B72059">
      <w:pPr>
        <w:rPr>
          <w:rFonts w:ascii="Century Gothic" w:eastAsia="Calibri" w:hAnsi="Century Gothic" w:cs="Times New Roman"/>
          <w:sz w:val="24"/>
          <w:szCs w:val="24"/>
        </w:rPr>
      </w:pPr>
      <w:r>
        <w:rPr>
          <w:rFonts w:ascii="Century Gothic" w:hAnsi="Century Gothic" w:cs="Times New Roman"/>
          <w:noProof/>
          <w:position w:val="30"/>
          <w:sz w:val="24"/>
          <w:szCs w:val="24"/>
        </w:rPr>
        <w:drawing>
          <wp:anchor distT="0" distB="0" distL="114300" distR="114300" simplePos="0" relativeHeight="251658242" behindDoc="0" locked="0" layoutInCell="1" allowOverlap="1" wp14:anchorId="49E2A697" wp14:editId="36850371">
            <wp:simplePos x="0" y="0"/>
            <wp:positionH relativeFrom="margin">
              <wp:posOffset>-635</wp:posOffset>
            </wp:positionH>
            <wp:positionV relativeFrom="margin">
              <wp:align>top</wp:align>
            </wp:positionV>
            <wp:extent cx="2353310" cy="1597025"/>
            <wp:effectExtent l="0" t="0" r="8890" b="3175"/>
            <wp:wrapSquare wrapText="bothSides"/>
            <wp:docPr id="1" name="Picture 1" descr="California Geologic Energy Management Division (CalG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Geologic Energy Management Division (CalGEM)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3310" cy="1597025"/>
                    </a:xfrm>
                    <a:prstGeom prst="rect">
                      <a:avLst/>
                    </a:prstGeom>
                    <a:noFill/>
                  </pic:spPr>
                </pic:pic>
              </a:graphicData>
            </a:graphic>
          </wp:anchor>
        </w:drawing>
      </w:r>
      <w:r w:rsidR="0040043C" w:rsidRPr="009B7FEE">
        <w:rPr>
          <w:rFonts w:ascii="Century Gothic" w:hAnsi="Century Gothic" w:cs="Arial"/>
          <w:noProof/>
          <w:position w:val="30"/>
          <w:sz w:val="24"/>
          <w:szCs w:val="24"/>
        </w:rPr>
        <w:drawing>
          <wp:anchor distT="0" distB="0" distL="114300" distR="114300" simplePos="0" relativeHeight="251658241" behindDoc="0" locked="0" layoutInCell="1" allowOverlap="1" wp14:anchorId="44B90A49" wp14:editId="2BADA990">
            <wp:simplePos x="0" y="0"/>
            <wp:positionH relativeFrom="column">
              <wp:posOffset>-50800</wp:posOffset>
            </wp:positionH>
            <wp:positionV relativeFrom="page">
              <wp:posOffset>948690</wp:posOffset>
            </wp:positionV>
            <wp:extent cx="2338070" cy="1569720"/>
            <wp:effectExtent l="0" t="0" r="508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8070" cy="1569720"/>
                    </a:xfrm>
                    <a:prstGeom prst="rect">
                      <a:avLst/>
                    </a:prstGeom>
                    <a:noFill/>
                    <a:ln>
                      <a:noFill/>
                    </a:ln>
                  </pic:spPr>
                </pic:pic>
              </a:graphicData>
            </a:graphic>
          </wp:anchor>
        </w:drawing>
      </w:r>
      <w:r w:rsidR="006F23FD" w:rsidRPr="009B7FEE">
        <w:rPr>
          <w:rFonts w:ascii="Century Gothic" w:hAnsi="Century Gothic" w:cs="Times New Roman"/>
          <w:noProof/>
          <w:sz w:val="24"/>
          <w:szCs w:val="24"/>
        </w:rPr>
        <w:drawing>
          <wp:anchor distT="0" distB="0" distL="114300" distR="114300" simplePos="0" relativeHeight="251658240" behindDoc="0" locked="0" layoutInCell="1" allowOverlap="1" wp14:anchorId="7C19258B" wp14:editId="404ED5D9">
            <wp:simplePos x="0" y="0"/>
            <wp:positionH relativeFrom="column">
              <wp:posOffset>4478020</wp:posOffset>
            </wp:positionH>
            <wp:positionV relativeFrom="paragraph">
              <wp:posOffset>54610</wp:posOffset>
            </wp:positionV>
            <wp:extent cx="1731645" cy="1331595"/>
            <wp:effectExtent l="0" t="0" r="1905" b="1905"/>
            <wp:wrapTopAndBottom/>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1645" cy="1331595"/>
                    </a:xfrm>
                    <a:prstGeom prst="rect">
                      <a:avLst/>
                    </a:prstGeom>
                  </pic:spPr>
                </pic:pic>
              </a:graphicData>
            </a:graphic>
            <wp14:sizeRelH relativeFrom="margin">
              <wp14:pctWidth>0</wp14:pctWidth>
            </wp14:sizeRelH>
            <wp14:sizeRelV relativeFrom="margin">
              <wp14:pctHeight>0</wp14:pctHeight>
            </wp14:sizeRelV>
          </wp:anchor>
        </w:drawing>
      </w:r>
      <w:r w:rsidR="007D47FD" w:rsidRPr="009B7FEE">
        <w:rPr>
          <w:rFonts w:ascii="Century Gothic" w:hAnsi="Century Gothic" w:cs="Times New Roman"/>
          <w:position w:val="30"/>
          <w:sz w:val="24"/>
          <w:szCs w:val="24"/>
        </w:rPr>
        <w:t xml:space="preserve"> </w:t>
      </w:r>
      <w:r w:rsidR="005B35EB" w:rsidRPr="009B7FEE">
        <w:rPr>
          <w:rFonts w:ascii="Century Gothic" w:hAnsi="Century Gothic" w:cs="Times New Roman"/>
          <w:position w:val="30"/>
          <w:sz w:val="24"/>
          <w:szCs w:val="24"/>
        </w:rPr>
        <w:tab/>
      </w:r>
    </w:p>
    <w:p w14:paraId="610A6DB7" w14:textId="4275411C" w:rsidR="00172A5E" w:rsidRPr="00FF66B2" w:rsidRDefault="00395A12" w:rsidP="00FF66B2">
      <w:pPr>
        <w:pStyle w:val="Heading1"/>
        <w:ind w:left="2160" w:right="2400"/>
        <w:jc w:val="center"/>
        <w:rPr>
          <w:rFonts w:ascii="Century Gothic" w:hAnsi="Century Gothic"/>
          <w:sz w:val="28"/>
          <w:szCs w:val="32"/>
        </w:rPr>
      </w:pPr>
      <w:r w:rsidRPr="00FF66B2">
        <w:rPr>
          <w:rFonts w:ascii="Century Gothic" w:hAnsi="Century Gothic"/>
          <w:sz w:val="28"/>
          <w:szCs w:val="32"/>
        </w:rPr>
        <w:t>Statement of Basis for the</w:t>
      </w:r>
      <w:r w:rsidR="00FF66B2">
        <w:rPr>
          <w:rFonts w:ascii="Century Gothic" w:hAnsi="Century Gothic"/>
          <w:sz w:val="28"/>
          <w:szCs w:val="32"/>
        </w:rPr>
        <w:t xml:space="preserve"> </w:t>
      </w:r>
      <w:r w:rsidRPr="009B7FEE">
        <w:rPr>
          <w:rFonts w:ascii="Century Gothic" w:hAnsi="Century Gothic" w:cs="Arial"/>
          <w:sz w:val="28"/>
          <w:szCs w:val="28"/>
        </w:rPr>
        <w:t xml:space="preserve">Aquifer Exemption </w:t>
      </w:r>
      <w:r w:rsidR="00730A20">
        <w:rPr>
          <w:rFonts w:ascii="Century Gothic" w:hAnsi="Century Gothic" w:cs="Arial"/>
          <w:sz w:val="28"/>
          <w:szCs w:val="28"/>
        </w:rPr>
        <w:t>of</w:t>
      </w:r>
      <w:r w:rsidR="0010046A" w:rsidRPr="009B7FEE">
        <w:rPr>
          <w:rFonts w:ascii="Century Gothic" w:hAnsi="Century Gothic" w:cs="Arial"/>
          <w:sz w:val="28"/>
          <w:szCs w:val="28"/>
        </w:rPr>
        <w:t xml:space="preserve"> the </w:t>
      </w:r>
      <w:r w:rsidR="00730A20">
        <w:rPr>
          <w:rFonts w:ascii="Century Gothic" w:hAnsi="Century Gothic" w:cs="Arial"/>
          <w:sz w:val="28"/>
          <w:szCs w:val="28"/>
        </w:rPr>
        <w:t>Tulare Formation</w:t>
      </w:r>
      <w:r w:rsidR="0010046A" w:rsidRPr="009B7FEE">
        <w:rPr>
          <w:rFonts w:ascii="Century Gothic" w:hAnsi="Century Gothic" w:cs="Arial"/>
          <w:sz w:val="28"/>
          <w:szCs w:val="28"/>
        </w:rPr>
        <w:t>,</w:t>
      </w:r>
      <w:r w:rsidR="00FF66B2">
        <w:rPr>
          <w:rFonts w:ascii="Century Gothic" w:hAnsi="Century Gothic" w:cs="Arial"/>
          <w:sz w:val="28"/>
          <w:szCs w:val="28"/>
        </w:rPr>
        <w:t xml:space="preserve"> </w:t>
      </w:r>
      <w:r w:rsidR="00730A20">
        <w:rPr>
          <w:rFonts w:ascii="Century Gothic" w:hAnsi="Century Gothic" w:cs="Arial"/>
          <w:color w:val="000000" w:themeColor="text1"/>
          <w:sz w:val="28"/>
          <w:szCs w:val="28"/>
        </w:rPr>
        <w:t>North Antelope Hills</w:t>
      </w:r>
      <w:r w:rsidR="002B0568" w:rsidRPr="00A87E1A">
        <w:rPr>
          <w:rFonts w:ascii="Century Gothic" w:hAnsi="Century Gothic" w:cs="Arial"/>
          <w:color w:val="000000" w:themeColor="text1"/>
          <w:sz w:val="28"/>
          <w:szCs w:val="28"/>
        </w:rPr>
        <w:t xml:space="preserve"> Oil </w:t>
      </w:r>
      <w:r w:rsidR="002B0568" w:rsidRPr="009B7FEE">
        <w:rPr>
          <w:rFonts w:ascii="Century Gothic" w:hAnsi="Century Gothic" w:cs="Arial"/>
          <w:sz w:val="28"/>
          <w:szCs w:val="28"/>
        </w:rPr>
        <w:t>Field</w:t>
      </w:r>
    </w:p>
    <w:p w14:paraId="6B7E4AF1" w14:textId="023164D3" w:rsidR="00C333B5" w:rsidRDefault="00C333B5" w:rsidP="00B72059">
      <w:pPr>
        <w:rPr>
          <w:rFonts w:ascii="Century Gothic" w:eastAsia="Calibri" w:hAnsi="Century Gothic"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6445"/>
      </w:tblGrid>
      <w:tr w:rsidR="001A6AFD" w14:paraId="1CC55B1B" w14:textId="77777777" w:rsidTr="001A6AFD">
        <w:trPr>
          <w:trHeight w:val="288"/>
        </w:trPr>
        <w:tc>
          <w:tcPr>
            <w:tcW w:w="3145" w:type="dxa"/>
          </w:tcPr>
          <w:p w14:paraId="2EC3CC0E" w14:textId="3F280358" w:rsidR="001A6AFD" w:rsidRPr="001A6AFD" w:rsidRDefault="001A6AFD" w:rsidP="00B72059">
            <w:pPr>
              <w:rPr>
                <w:rFonts w:ascii="Century Gothic" w:eastAsia="Calibri" w:hAnsi="Century Gothic" w:cs="Arial"/>
                <w:b/>
                <w:bCs/>
              </w:rPr>
            </w:pPr>
            <w:r w:rsidRPr="001A6AFD">
              <w:rPr>
                <w:rFonts w:ascii="Century Gothic" w:eastAsia="Calibri" w:hAnsi="Century Gothic" w:cs="Arial"/>
                <w:b/>
                <w:bCs/>
              </w:rPr>
              <w:t>Field:</w:t>
            </w:r>
          </w:p>
        </w:tc>
        <w:tc>
          <w:tcPr>
            <w:tcW w:w="6445" w:type="dxa"/>
          </w:tcPr>
          <w:p w14:paraId="2877F381" w14:textId="33EDF4A7" w:rsidR="001A6AFD" w:rsidRDefault="001A6AFD" w:rsidP="00B72059">
            <w:pPr>
              <w:rPr>
                <w:rFonts w:ascii="Century Gothic" w:eastAsia="Calibri" w:hAnsi="Century Gothic" w:cs="Arial"/>
              </w:rPr>
            </w:pPr>
            <w:r>
              <w:rPr>
                <w:rFonts w:ascii="Century Gothic" w:eastAsia="Calibri" w:hAnsi="Century Gothic" w:cs="Arial"/>
              </w:rPr>
              <w:t>North Antelope Hills Oil Field</w:t>
            </w:r>
          </w:p>
        </w:tc>
      </w:tr>
      <w:tr w:rsidR="001A6AFD" w14:paraId="0A85F023" w14:textId="77777777" w:rsidTr="001A6AFD">
        <w:trPr>
          <w:trHeight w:val="288"/>
        </w:trPr>
        <w:tc>
          <w:tcPr>
            <w:tcW w:w="3145" w:type="dxa"/>
          </w:tcPr>
          <w:p w14:paraId="5A44D9F9" w14:textId="3FC57A69" w:rsidR="001A6AFD" w:rsidRPr="001A6AFD" w:rsidRDefault="001A6AFD" w:rsidP="00B72059">
            <w:pPr>
              <w:rPr>
                <w:rFonts w:ascii="Century Gothic" w:eastAsia="Calibri" w:hAnsi="Century Gothic" w:cs="Arial"/>
                <w:b/>
                <w:bCs/>
              </w:rPr>
            </w:pPr>
            <w:r w:rsidRPr="001A6AFD">
              <w:rPr>
                <w:rFonts w:ascii="Century Gothic" w:eastAsia="Calibri" w:hAnsi="Century Gothic" w:cs="Arial"/>
                <w:b/>
                <w:bCs/>
              </w:rPr>
              <w:t>County:</w:t>
            </w:r>
          </w:p>
        </w:tc>
        <w:tc>
          <w:tcPr>
            <w:tcW w:w="6445" w:type="dxa"/>
          </w:tcPr>
          <w:p w14:paraId="1E6B0405" w14:textId="05CAB69D" w:rsidR="001A6AFD" w:rsidRDefault="001A6AFD" w:rsidP="00B72059">
            <w:pPr>
              <w:rPr>
                <w:rFonts w:ascii="Century Gothic" w:eastAsia="Calibri" w:hAnsi="Century Gothic" w:cs="Arial"/>
              </w:rPr>
            </w:pPr>
            <w:r>
              <w:rPr>
                <w:rFonts w:ascii="Century Gothic" w:eastAsia="Calibri" w:hAnsi="Century Gothic" w:cs="Arial"/>
              </w:rPr>
              <w:t>Kern County, California</w:t>
            </w:r>
          </w:p>
        </w:tc>
      </w:tr>
      <w:tr w:rsidR="001A6AFD" w14:paraId="537B4FFE" w14:textId="77777777" w:rsidTr="001A6AFD">
        <w:trPr>
          <w:trHeight w:val="288"/>
        </w:trPr>
        <w:tc>
          <w:tcPr>
            <w:tcW w:w="3145" w:type="dxa"/>
          </w:tcPr>
          <w:p w14:paraId="4F5A2AA8" w14:textId="52C61A67" w:rsidR="001A6AFD" w:rsidRPr="001A6AFD" w:rsidRDefault="001A6AFD" w:rsidP="00B72059">
            <w:pPr>
              <w:rPr>
                <w:rFonts w:ascii="Century Gothic" w:eastAsia="Calibri" w:hAnsi="Century Gothic" w:cs="Arial"/>
                <w:b/>
                <w:bCs/>
              </w:rPr>
            </w:pPr>
            <w:r w:rsidRPr="001A6AFD">
              <w:rPr>
                <w:rFonts w:ascii="Century Gothic" w:eastAsia="Calibri" w:hAnsi="Century Gothic" w:cs="Arial"/>
                <w:b/>
                <w:bCs/>
              </w:rPr>
              <w:t>Class and Well Type:</w:t>
            </w:r>
          </w:p>
        </w:tc>
        <w:tc>
          <w:tcPr>
            <w:tcW w:w="6445" w:type="dxa"/>
          </w:tcPr>
          <w:p w14:paraId="512354DC" w14:textId="3502A921" w:rsidR="001A6AFD" w:rsidRDefault="001A6AFD" w:rsidP="00B72059">
            <w:pPr>
              <w:rPr>
                <w:rFonts w:ascii="Century Gothic" w:eastAsia="Calibri" w:hAnsi="Century Gothic" w:cs="Arial"/>
              </w:rPr>
            </w:pPr>
            <w:r>
              <w:rPr>
                <w:rFonts w:ascii="Century Gothic" w:eastAsia="Calibri" w:hAnsi="Century Gothic" w:cs="Arial"/>
              </w:rPr>
              <w:t>Class II, Water Disposal and Enhanced Oil Recovery</w:t>
            </w:r>
          </w:p>
        </w:tc>
      </w:tr>
      <w:tr w:rsidR="001A6AFD" w14:paraId="285B20CC" w14:textId="77777777" w:rsidTr="001A6AFD">
        <w:trPr>
          <w:trHeight w:val="288"/>
        </w:trPr>
        <w:tc>
          <w:tcPr>
            <w:tcW w:w="3145" w:type="dxa"/>
          </w:tcPr>
          <w:p w14:paraId="3CB89578" w14:textId="24839A8C" w:rsidR="001A6AFD" w:rsidRPr="001A6AFD" w:rsidRDefault="001A6AFD" w:rsidP="00B72059">
            <w:pPr>
              <w:rPr>
                <w:rFonts w:ascii="Century Gothic" w:eastAsia="Calibri" w:hAnsi="Century Gothic" w:cs="Arial"/>
                <w:b/>
                <w:bCs/>
              </w:rPr>
            </w:pPr>
            <w:r w:rsidRPr="001A6AFD">
              <w:rPr>
                <w:rFonts w:ascii="Century Gothic" w:eastAsia="Calibri" w:hAnsi="Century Gothic" w:cs="Arial"/>
                <w:b/>
                <w:bCs/>
              </w:rPr>
              <w:t>Geologic Formations:</w:t>
            </w:r>
          </w:p>
        </w:tc>
        <w:tc>
          <w:tcPr>
            <w:tcW w:w="6445" w:type="dxa"/>
          </w:tcPr>
          <w:p w14:paraId="104B0067" w14:textId="4D04B3B3" w:rsidR="001A6AFD" w:rsidRDefault="001A6AFD" w:rsidP="00B72059">
            <w:pPr>
              <w:rPr>
                <w:rFonts w:ascii="Century Gothic" w:eastAsia="Calibri" w:hAnsi="Century Gothic" w:cs="Arial"/>
              </w:rPr>
            </w:pPr>
            <w:r>
              <w:rPr>
                <w:rFonts w:ascii="Century Gothic" w:eastAsia="Calibri" w:hAnsi="Century Gothic" w:cs="Arial"/>
              </w:rPr>
              <w:t>Tulare Formation</w:t>
            </w:r>
          </w:p>
        </w:tc>
      </w:tr>
      <w:tr w:rsidR="001A6AFD" w14:paraId="5AD9B541" w14:textId="77777777" w:rsidTr="001A6AFD">
        <w:trPr>
          <w:trHeight w:val="288"/>
        </w:trPr>
        <w:tc>
          <w:tcPr>
            <w:tcW w:w="3145" w:type="dxa"/>
          </w:tcPr>
          <w:p w14:paraId="28BBF96F" w14:textId="5A4296FC" w:rsidR="001A6AFD" w:rsidRPr="001A6AFD" w:rsidRDefault="001A6AFD" w:rsidP="00B72059">
            <w:pPr>
              <w:rPr>
                <w:rFonts w:ascii="Century Gothic" w:eastAsia="Calibri" w:hAnsi="Century Gothic" w:cs="Arial"/>
                <w:b/>
                <w:bCs/>
              </w:rPr>
            </w:pPr>
            <w:r w:rsidRPr="001A6AFD">
              <w:rPr>
                <w:rFonts w:ascii="Century Gothic" w:eastAsia="Calibri" w:hAnsi="Century Gothic" w:cs="Arial"/>
                <w:b/>
                <w:bCs/>
              </w:rPr>
              <w:t>Federal Exemption Criteria:</w:t>
            </w:r>
          </w:p>
        </w:tc>
        <w:tc>
          <w:tcPr>
            <w:tcW w:w="6445" w:type="dxa"/>
          </w:tcPr>
          <w:p w14:paraId="4E5CD810" w14:textId="3FAFDC3B" w:rsidR="001A6AFD" w:rsidRDefault="001A6AFD" w:rsidP="00B72059">
            <w:pPr>
              <w:rPr>
                <w:rFonts w:ascii="Century Gothic" w:eastAsia="Calibri" w:hAnsi="Century Gothic" w:cs="Arial"/>
              </w:rPr>
            </w:pPr>
            <w:r>
              <w:rPr>
                <w:rFonts w:ascii="Century Gothic" w:eastAsia="Calibri" w:hAnsi="Century Gothic" w:cs="Arial"/>
              </w:rPr>
              <w:t xml:space="preserve">40 CFR </w:t>
            </w:r>
            <w:r w:rsidRPr="009B7FEE">
              <w:rPr>
                <w:rFonts w:ascii="Century Gothic" w:eastAsia="Calibri" w:hAnsi="Century Gothic" w:cs="Arial"/>
              </w:rPr>
              <w:t>§§</w:t>
            </w:r>
            <w:r>
              <w:rPr>
                <w:rFonts w:ascii="Century Gothic" w:eastAsia="Calibri" w:hAnsi="Century Gothic" w:cs="Arial"/>
              </w:rPr>
              <w:t>146.4(a) and 146.4(c)</w:t>
            </w:r>
          </w:p>
        </w:tc>
      </w:tr>
    </w:tbl>
    <w:p w14:paraId="7626A448" w14:textId="77777777" w:rsidR="001A6AFD" w:rsidRPr="009B7FEE" w:rsidRDefault="001A6AFD" w:rsidP="00B72059">
      <w:pPr>
        <w:rPr>
          <w:rFonts w:ascii="Century Gothic" w:eastAsia="Calibri" w:hAnsi="Century Gothic" w:cs="Arial"/>
        </w:rPr>
      </w:pPr>
    </w:p>
    <w:p w14:paraId="636D7C56" w14:textId="256B7A98" w:rsidR="05B36653" w:rsidRDefault="05B36653" w:rsidP="330CB019">
      <w:pPr>
        <w:pStyle w:val="Default"/>
        <w:rPr>
          <w:rFonts w:ascii="Century Gothic" w:hAnsi="Century Gothic" w:cs="Arial"/>
          <w:sz w:val="22"/>
          <w:szCs w:val="22"/>
        </w:rPr>
      </w:pPr>
      <w:r w:rsidRPr="330CB019">
        <w:rPr>
          <w:rFonts w:ascii="Century Gothic" w:hAnsi="Century Gothic" w:cs="Arial"/>
          <w:sz w:val="22"/>
          <w:szCs w:val="22"/>
        </w:rPr>
        <w:t>The California Department of Conservation, Geologic Energy Management Division (CalGEM), in consultation with staff of the State Water Resources Control Board (State Water Board) and the Central Valley Regional Water Quality Control Board (collectively, the Water Boards), is considering recommending that the United States Environmental Protection Agency (US EPA)</w:t>
      </w:r>
      <w:r w:rsidR="0025254F">
        <w:rPr>
          <w:rFonts w:ascii="Century Gothic" w:hAnsi="Century Gothic" w:cs="Arial"/>
          <w:sz w:val="22"/>
          <w:szCs w:val="22"/>
        </w:rPr>
        <w:t xml:space="preserve"> </w:t>
      </w:r>
      <w:r w:rsidR="00FE22B0">
        <w:rPr>
          <w:rFonts w:ascii="Century Gothic" w:hAnsi="Century Gothic" w:cs="Arial"/>
          <w:sz w:val="22"/>
          <w:szCs w:val="22"/>
        </w:rPr>
        <w:t>ex</w:t>
      </w:r>
      <w:r w:rsidR="00117AE4">
        <w:rPr>
          <w:rFonts w:ascii="Century Gothic" w:hAnsi="Century Gothic" w:cs="Arial"/>
          <w:sz w:val="22"/>
          <w:szCs w:val="22"/>
        </w:rPr>
        <w:t>empt</w:t>
      </w:r>
      <w:r w:rsidR="00FE22B0">
        <w:rPr>
          <w:rFonts w:ascii="Century Gothic" w:hAnsi="Century Gothic" w:cs="Arial"/>
          <w:sz w:val="22"/>
          <w:szCs w:val="22"/>
        </w:rPr>
        <w:t xml:space="preserve"> </w:t>
      </w:r>
      <w:r w:rsidR="00117AE4">
        <w:rPr>
          <w:rFonts w:ascii="Century Gothic" w:hAnsi="Century Gothic" w:cs="Arial"/>
          <w:sz w:val="22"/>
          <w:szCs w:val="22"/>
        </w:rPr>
        <w:t xml:space="preserve">a portion of </w:t>
      </w:r>
      <w:r w:rsidR="00D63CD7">
        <w:rPr>
          <w:rFonts w:ascii="Century Gothic" w:hAnsi="Century Gothic" w:cs="Arial"/>
          <w:sz w:val="22"/>
          <w:szCs w:val="22"/>
        </w:rPr>
        <w:t xml:space="preserve">Tulare Formation </w:t>
      </w:r>
      <w:r w:rsidR="007D0A8C">
        <w:rPr>
          <w:rFonts w:ascii="Century Gothic" w:hAnsi="Century Gothic" w:cs="Arial"/>
          <w:sz w:val="22"/>
          <w:szCs w:val="22"/>
        </w:rPr>
        <w:t xml:space="preserve">aquifer </w:t>
      </w:r>
      <w:r w:rsidR="008C1D20">
        <w:rPr>
          <w:rFonts w:ascii="Century Gothic" w:hAnsi="Century Gothic" w:cs="Arial"/>
          <w:sz w:val="22"/>
          <w:szCs w:val="22"/>
        </w:rPr>
        <w:t xml:space="preserve">between </w:t>
      </w:r>
      <w:r w:rsidR="007D0A8C">
        <w:rPr>
          <w:rFonts w:ascii="Century Gothic" w:hAnsi="Century Gothic" w:cs="Arial"/>
          <w:sz w:val="22"/>
          <w:szCs w:val="22"/>
        </w:rPr>
        <w:t>the</w:t>
      </w:r>
      <w:r w:rsidR="00117AE4">
        <w:rPr>
          <w:rFonts w:ascii="Century Gothic" w:hAnsi="Century Gothic" w:cs="Arial"/>
          <w:sz w:val="22"/>
          <w:szCs w:val="22"/>
        </w:rPr>
        <w:t xml:space="preserve"> </w:t>
      </w:r>
      <w:r w:rsidR="008C1D20">
        <w:rPr>
          <w:rFonts w:ascii="Century Gothic" w:hAnsi="Century Gothic" w:cs="Arial"/>
          <w:sz w:val="22"/>
          <w:szCs w:val="22"/>
        </w:rPr>
        <w:t xml:space="preserve">Antelope Hills and </w:t>
      </w:r>
      <w:r w:rsidR="00117AE4">
        <w:rPr>
          <w:rFonts w:ascii="Century Gothic" w:hAnsi="Century Gothic" w:cs="Arial"/>
          <w:sz w:val="22"/>
          <w:szCs w:val="22"/>
        </w:rPr>
        <w:t>North</w:t>
      </w:r>
      <w:r w:rsidR="007D0A8C">
        <w:rPr>
          <w:rFonts w:ascii="Century Gothic" w:hAnsi="Century Gothic" w:cs="Arial"/>
          <w:sz w:val="22"/>
          <w:szCs w:val="22"/>
        </w:rPr>
        <w:t xml:space="preserve"> Antelope Hills Oil Field</w:t>
      </w:r>
      <w:r w:rsidR="00B84B34">
        <w:rPr>
          <w:rFonts w:ascii="Century Gothic" w:hAnsi="Century Gothic" w:cs="Arial"/>
          <w:sz w:val="22"/>
          <w:szCs w:val="22"/>
        </w:rPr>
        <w:t>s</w:t>
      </w:r>
      <w:r w:rsidR="00935938">
        <w:rPr>
          <w:rFonts w:ascii="Century Gothic" w:hAnsi="Century Gothic" w:cs="Arial"/>
          <w:sz w:val="22"/>
          <w:szCs w:val="22"/>
        </w:rPr>
        <w:t xml:space="preserve"> </w:t>
      </w:r>
      <w:r w:rsidRPr="330CB019">
        <w:rPr>
          <w:rFonts w:ascii="Century Gothic" w:hAnsi="Century Gothic" w:cs="Arial"/>
          <w:sz w:val="22"/>
          <w:szCs w:val="22"/>
        </w:rPr>
        <w:t>under the Safe Drinking Water Act for purposes of receiving fluids from Class II injection wells.</w:t>
      </w:r>
    </w:p>
    <w:p w14:paraId="23CE8DE5" w14:textId="05E0649B" w:rsidR="330CB019" w:rsidRDefault="330CB019" w:rsidP="330CB019">
      <w:pPr>
        <w:pStyle w:val="Default"/>
        <w:rPr>
          <w:rFonts w:ascii="Century Gothic" w:hAnsi="Century Gothic" w:cs="Arial"/>
          <w:sz w:val="22"/>
          <w:szCs w:val="22"/>
        </w:rPr>
      </w:pPr>
    </w:p>
    <w:p w14:paraId="0DC2368A" w14:textId="79FC9A5D" w:rsidR="05B36653" w:rsidRDefault="008F48F1" w:rsidP="00C51E86">
      <w:pPr>
        <w:pStyle w:val="Default"/>
      </w:pPr>
      <w:r>
        <w:rPr>
          <w:rFonts w:ascii="Century Gothic" w:hAnsi="Century Gothic" w:cs="Arial"/>
          <w:sz w:val="22"/>
          <w:szCs w:val="22"/>
        </w:rPr>
        <w:t>The proposed exemption interval</w:t>
      </w:r>
      <w:r w:rsidR="00753D8C">
        <w:rPr>
          <w:rFonts w:ascii="Century Gothic" w:hAnsi="Century Gothic" w:cs="Arial"/>
          <w:sz w:val="22"/>
          <w:szCs w:val="22"/>
        </w:rPr>
        <w:t xml:space="preserve">, which is between the Antelope Hills </w:t>
      </w:r>
      <w:r w:rsidR="00675B23">
        <w:rPr>
          <w:rFonts w:ascii="Century Gothic" w:hAnsi="Century Gothic" w:cs="Arial"/>
          <w:sz w:val="22"/>
          <w:szCs w:val="22"/>
        </w:rPr>
        <w:t xml:space="preserve">and </w:t>
      </w:r>
      <w:r w:rsidR="00412F25">
        <w:rPr>
          <w:rFonts w:ascii="Century Gothic" w:hAnsi="Century Gothic" w:cs="Arial"/>
          <w:sz w:val="22"/>
          <w:szCs w:val="22"/>
        </w:rPr>
        <w:t xml:space="preserve">North </w:t>
      </w:r>
      <w:r w:rsidR="00753D8C">
        <w:rPr>
          <w:rFonts w:ascii="Century Gothic" w:hAnsi="Century Gothic" w:cs="Arial"/>
          <w:sz w:val="22"/>
          <w:szCs w:val="22"/>
        </w:rPr>
        <w:t>Antelope Hills Oil Field</w:t>
      </w:r>
      <w:r w:rsidR="00675B23">
        <w:rPr>
          <w:rFonts w:ascii="Century Gothic" w:hAnsi="Century Gothic" w:cs="Arial"/>
          <w:sz w:val="22"/>
          <w:szCs w:val="22"/>
        </w:rPr>
        <w:t xml:space="preserve">s, </w:t>
      </w:r>
      <w:r>
        <w:rPr>
          <w:rFonts w:ascii="Century Gothic" w:hAnsi="Century Gothic" w:cs="Arial"/>
          <w:sz w:val="22"/>
          <w:szCs w:val="22"/>
        </w:rPr>
        <w:t xml:space="preserve">is referred to </w:t>
      </w:r>
      <w:r w:rsidR="05B36653" w:rsidRPr="330CB019">
        <w:rPr>
          <w:rFonts w:ascii="Century Gothic" w:hAnsi="Century Gothic" w:cs="Arial"/>
          <w:sz w:val="22"/>
          <w:szCs w:val="22"/>
        </w:rPr>
        <w:t xml:space="preserve">as the </w:t>
      </w:r>
      <w:r w:rsidR="00D63CD7">
        <w:rPr>
          <w:rFonts w:ascii="Century Gothic" w:hAnsi="Century Gothic" w:cs="Arial"/>
          <w:sz w:val="22"/>
          <w:szCs w:val="22"/>
        </w:rPr>
        <w:t xml:space="preserve">North Antelope Hills </w:t>
      </w:r>
      <w:r w:rsidR="0025254F">
        <w:rPr>
          <w:rFonts w:ascii="Century Gothic" w:hAnsi="Century Gothic" w:cs="Arial"/>
          <w:sz w:val="22"/>
          <w:szCs w:val="22"/>
        </w:rPr>
        <w:t>Tulare Oil Sand</w:t>
      </w:r>
      <w:r w:rsidR="05B36653" w:rsidRPr="330CB019">
        <w:rPr>
          <w:rFonts w:ascii="Century Gothic" w:hAnsi="Century Gothic" w:cs="Arial"/>
          <w:sz w:val="22"/>
          <w:szCs w:val="22"/>
        </w:rPr>
        <w:t>.</w:t>
      </w:r>
      <w:r w:rsidR="00F8254E">
        <w:rPr>
          <w:rFonts w:ascii="Century Gothic" w:hAnsi="Century Gothic" w:cs="Arial"/>
          <w:sz w:val="22"/>
          <w:szCs w:val="22"/>
        </w:rPr>
        <w:t xml:space="preserve"> </w:t>
      </w:r>
      <w:r w:rsidR="05B36653" w:rsidRPr="330CB019">
        <w:rPr>
          <w:rFonts w:ascii="Century Gothic" w:hAnsi="Century Gothic" w:cs="Arial"/>
          <w:sz w:val="22"/>
          <w:szCs w:val="22"/>
        </w:rPr>
        <w:t xml:space="preserve">For purposes of this proposal, the </w:t>
      </w:r>
      <w:r w:rsidR="00F41B91">
        <w:rPr>
          <w:rFonts w:ascii="Century Gothic" w:hAnsi="Century Gothic" w:cs="Arial"/>
          <w:sz w:val="22"/>
          <w:szCs w:val="22"/>
        </w:rPr>
        <w:t xml:space="preserve">North Antelope Hills </w:t>
      </w:r>
      <w:r w:rsidR="0025254F">
        <w:rPr>
          <w:rFonts w:ascii="Century Gothic" w:hAnsi="Century Gothic" w:cs="Arial"/>
          <w:sz w:val="22"/>
          <w:szCs w:val="22"/>
        </w:rPr>
        <w:t>Tulare Oil Sand</w:t>
      </w:r>
      <w:r w:rsidR="05B36653" w:rsidRPr="330CB019">
        <w:rPr>
          <w:rFonts w:ascii="Century Gothic" w:hAnsi="Century Gothic" w:cs="Arial"/>
          <w:sz w:val="22"/>
          <w:szCs w:val="22"/>
        </w:rPr>
        <w:t xml:space="preserve"> includes </w:t>
      </w:r>
      <w:r w:rsidR="00E053A4">
        <w:rPr>
          <w:rFonts w:ascii="Century Gothic" w:hAnsi="Century Gothic" w:cs="Arial"/>
          <w:sz w:val="22"/>
          <w:szCs w:val="22"/>
        </w:rPr>
        <w:t xml:space="preserve">the basal </w:t>
      </w:r>
      <w:r w:rsidR="00A53A25">
        <w:rPr>
          <w:rFonts w:ascii="Century Gothic" w:hAnsi="Century Gothic" w:cs="Arial"/>
          <w:sz w:val="22"/>
          <w:szCs w:val="22"/>
        </w:rPr>
        <w:t>p</w:t>
      </w:r>
      <w:r w:rsidR="05B36653" w:rsidRPr="330CB019">
        <w:rPr>
          <w:rFonts w:ascii="Century Gothic" w:hAnsi="Century Gothic" w:cs="Arial"/>
          <w:sz w:val="22"/>
          <w:szCs w:val="22"/>
        </w:rPr>
        <w:t xml:space="preserve">ortions of the </w:t>
      </w:r>
      <w:r w:rsidR="0025254F">
        <w:rPr>
          <w:rFonts w:ascii="Century Gothic" w:hAnsi="Century Gothic" w:cs="Arial"/>
          <w:sz w:val="22"/>
          <w:szCs w:val="22"/>
        </w:rPr>
        <w:t>Tulare</w:t>
      </w:r>
      <w:r w:rsidR="05B36653" w:rsidRPr="330CB019">
        <w:rPr>
          <w:rFonts w:ascii="Century Gothic" w:hAnsi="Century Gothic" w:cs="Arial"/>
          <w:sz w:val="22"/>
          <w:szCs w:val="22"/>
        </w:rPr>
        <w:t xml:space="preserve"> Formation below the </w:t>
      </w:r>
      <w:r w:rsidR="0025254F">
        <w:rPr>
          <w:rFonts w:ascii="Century Gothic" w:hAnsi="Century Gothic" w:cs="Arial"/>
          <w:sz w:val="22"/>
          <w:szCs w:val="22"/>
        </w:rPr>
        <w:t>Tulare Clay</w:t>
      </w:r>
      <w:r w:rsidR="05B36653" w:rsidRPr="330CB019">
        <w:rPr>
          <w:rFonts w:ascii="Century Gothic" w:hAnsi="Century Gothic" w:cs="Arial"/>
          <w:sz w:val="22"/>
          <w:szCs w:val="22"/>
        </w:rPr>
        <w:t>.</w:t>
      </w:r>
      <w:r w:rsidR="0025254F" w:rsidRPr="0025254F">
        <w:rPr>
          <w:rFonts w:ascii="Century Gothic" w:hAnsi="Century Gothic" w:cs="Arial"/>
          <w:sz w:val="22"/>
          <w:szCs w:val="22"/>
        </w:rPr>
        <w:t xml:space="preserve"> </w:t>
      </w:r>
    </w:p>
    <w:p w14:paraId="21C2207E" w14:textId="679E5112" w:rsidR="330CB019" w:rsidRDefault="330CB019" w:rsidP="330CB019">
      <w:pPr>
        <w:pStyle w:val="Default"/>
        <w:rPr>
          <w:rFonts w:ascii="Century Gothic" w:hAnsi="Century Gothic" w:cs="Arial"/>
          <w:sz w:val="22"/>
          <w:szCs w:val="22"/>
        </w:rPr>
      </w:pPr>
    </w:p>
    <w:p w14:paraId="736DEB1E" w14:textId="470E6EFA" w:rsidR="05B36653" w:rsidRDefault="00A42A3D" w:rsidP="00C51E86">
      <w:pPr>
        <w:pStyle w:val="Default"/>
      </w:pPr>
      <w:r>
        <w:rPr>
          <w:rFonts w:ascii="Century Gothic" w:hAnsi="Century Gothic" w:cs="Arial"/>
          <w:sz w:val="22"/>
          <w:szCs w:val="22"/>
        </w:rPr>
        <w:t>This proposal would ex</w:t>
      </w:r>
      <w:r w:rsidR="00117AE4">
        <w:rPr>
          <w:rFonts w:ascii="Century Gothic" w:hAnsi="Century Gothic" w:cs="Arial"/>
          <w:sz w:val="22"/>
          <w:szCs w:val="22"/>
        </w:rPr>
        <w:t>empt</w:t>
      </w:r>
      <w:r>
        <w:rPr>
          <w:rFonts w:ascii="Century Gothic" w:hAnsi="Century Gothic" w:cs="Arial"/>
          <w:sz w:val="22"/>
          <w:szCs w:val="22"/>
        </w:rPr>
        <w:t xml:space="preserve"> </w:t>
      </w:r>
      <w:r w:rsidR="00117AE4">
        <w:rPr>
          <w:rFonts w:ascii="Century Gothic" w:hAnsi="Century Gothic" w:cs="Arial"/>
          <w:sz w:val="22"/>
          <w:szCs w:val="22"/>
        </w:rPr>
        <w:t xml:space="preserve">the </w:t>
      </w:r>
      <w:r w:rsidR="008529E1">
        <w:rPr>
          <w:rFonts w:ascii="Century Gothic" w:hAnsi="Century Gothic" w:cs="Arial"/>
          <w:sz w:val="22"/>
          <w:szCs w:val="22"/>
        </w:rPr>
        <w:t xml:space="preserve">Tulare Oil Sand </w:t>
      </w:r>
      <w:r w:rsidR="00117AE4">
        <w:rPr>
          <w:rFonts w:ascii="Century Gothic" w:hAnsi="Century Gothic" w:cs="Arial"/>
          <w:sz w:val="22"/>
          <w:szCs w:val="22"/>
        </w:rPr>
        <w:t>within the Proposal Area</w:t>
      </w:r>
      <w:r>
        <w:rPr>
          <w:rFonts w:ascii="Century Gothic" w:hAnsi="Century Gothic" w:cs="Arial"/>
          <w:sz w:val="22"/>
          <w:szCs w:val="22"/>
        </w:rPr>
        <w:t>.</w:t>
      </w:r>
      <w:r w:rsidR="00F8254E">
        <w:rPr>
          <w:rFonts w:ascii="Century Gothic" w:hAnsi="Century Gothic" w:cs="Arial"/>
          <w:sz w:val="22"/>
          <w:szCs w:val="22"/>
        </w:rPr>
        <w:t xml:space="preserve"> </w:t>
      </w:r>
      <w:r w:rsidR="05B36653" w:rsidRPr="330CB019">
        <w:rPr>
          <w:rFonts w:ascii="Century Gothic" w:hAnsi="Century Gothic" w:cs="Arial"/>
          <w:sz w:val="22"/>
          <w:szCs w:val="22"/>
        </w:rPr>
        <w:t>This document summarizes the basis for CalGEM’s potential recommendation to the US EPA.</w:t>
      </w:r>
    </w:p>
    <w:p w14:paraId="25FFED0B" w14:textId="77777777" w:rsidR="0010046A" w:rsidRPr="009B7FEE" w:rsidRDefault="0010046A" w:rsidP="00745B95">
      <w:pPr>
        <w:rPr>
          <w:rFonts w:ascii="Century Gothic" w:eastAsia="Calibri" w:hAnsi="Century Gothic" w:cs="Arial"/>
          <w:b/>
        </w:rPr>
      </w:pPr>
    </w:p>
    <w:p w14:paraId="0C6828EE" w14:textId="5F838908" w:rsidR="0010046A" w:rsidRPr="009B7FEE" w:rsidRDefault="0010046A" w:rsidP="0010046A">
      <w:pPr>
        <w:pStyle w:val="Heading1"/>
        <w:ind w:left="0"/>
        <w:rPr>
          <w:rFonts w:ascii="Century Gothic" w:hAnsi="Century Gothic" w:cs="Arial"/>
          <w:szCs w:val="22"/>
        </w:rPr>
      </w:pPr>
      <w:r w:rsidRPr="009B7FEE">
        <w:rPr>
          <w:rFonts w:ascii="Century Gothic" w:hAnsi="Century Gothic" w:cs="Arial"/>
          <w:szCs w:val="22"/>
        </w:rPr>
        <w:t>SYNOPSIS</w:t>
      </w:r>
    </w:p>
    <w:p w14:paraId="542CCE73" w14:textId="77777777" w:rsidR="0010046A" w:rsidRPr="009B7FEE" w:rsidRDefault="0010046A" w:rsidP="0010046A">
      <w:pPr>
        <w:rPr>
          <w:rFonts w:ascii="Century Gothic" w:hAnsi="Century Gothic" w:cs="Arial"/>
        </w:rPr>
      </w:pPr>
    </w:p>
    <w:p w14:paraId="1FE1F33B" w14:textId="76744591" w:rsidR="0010046A" w:rsidRPr="009B7FEE" w:rsidRDefault="0010046A" w:rsidP="0010046A">
      <w:pPr>
        <w:rPr>
          <w:rFonts w:ascii="Century Gothic" w:hAnsi="Century Gothic" w:cs="Arial"/>
          <w:b/>
          <w:bCs/>
        </w:rPr>
      </w:pPr>
      <w:r w:rsidRPr="009B7FEE">
        <w:rPr>
          <w:rFonts w:ascii="Century Gothic" w:hAnsi="Century Gothic" w:cs="Arial"/>
        </w:rPr>
        <w:t xml:space="preserve">In 1983, subject to ongoing US EPA supervision, the US EPA granted </w:t>
      </w:r>
      <w:r w:rsidR="00BA5BBF">
        <w:rPr>
          <w:rFonts w:ascii="Century Gothic" w:hAnsi="Century Gothic" w:cs="Arial"/>
        </w:rPr>
        <w:t>CalGEM</w:t>
      </w:r>
      <w:r w:rsidRPr="009B7FEE">
        <w:rPr>
          <w:rFonts w:ascii="Century Gothic" w:hAnsi="Century Gothic" w:cs="Arial"/>
        </w:rPr>
        <w:t xml:space="preserve"> primary authority to regulate Class II injection in California for purposes of achieving the objectives of the Safe Drinking Water Act.</w:t>
      </w:r>
      <w:r w:rsidR="00F8254E">
        <w:rPr>
          <w:rFonts w:ascii="Century Gothic" w:hAnsi="Century Gothic" w:cs="Arial"/>
        </w:rPr>
        <w:t xml:space="preserve"> </w:t>
      </w:r>
      <w:r w:rsidRPr="009B7FEE">
        <w:rPr>
          <w:rFonts w:ascii="Century Gothic" w:hAnsi="Century Gothic" w:cs="Arial"/>
        </w:rPr>
        <w:t>These objectives include regulating Class II injection to ensure that current or anticipated sources of drinking water are not endangered.</w:t>
      </w:r>
      <w:r w:rsidR="00F8254E">
        <w:rPr>
          <w:rFonts w:ascii="Century Gothic" w:hAnsi="Century Gothic" w:cs="Arial"/>
        </w:rPr>
        <w:t xml:space="preserve"> </w:t>
      </w:r>
      <w:r w:rsidR="00FA46C5" w:rsidRPr="009B7FEE">
        <w:rPr>
          <w:rFonts w:ascii="Century Gothic" w:hAnsi="Century Gothic" w:cs="Arial"/>
        </w:rPr>
        <w:t>Federal regulations broadly define</w:t>
      </w:r>
      <w:r w:rsidR="00F35895" w:rsidRPr="009B7FEE">
        <w:rPr>
          <w:rFonts w:ascii="Century Gothic" w:hAnsi="Century Gothic" w:cs="Arial"/>
        </w:rPr>
        <w:t xml:space="preserve"> underground sources of drinking water as any geologic formation that contains water with a total dissolved solids composition of less than 10,000 milligrams per liter in a sufficient quantity to supply a public water system.</w:t>
      </w:r>
      <w:r w:rsidR="00F8254E">
        <w:rPr>
          <w:rFonts w:ascii="Century Gothic" w:hAnsi="Century Gothic" w:cs="Arial"/>
        </w:rPr>
        <w:t xml:space="preserve"> </w:t>
      </w:r>
      <w:r w:rsidRPr="009B7FEE">
        <w:rPr>
          <w:rFonts w:ascii="Century Gothic" w:hAnsi="Century Gothic" w:cs="Arial"/>
        </w:rPr>
        <w:t xml:space="preserve">Class II injection </w:t>
      </w:r>
      <w:r w:rsidRPr="009B7FEE">
        <w:rPr>
          <w:rFonts w:ascii="Century Gothic" w:hAnsi="Century Gothic" w:cs="Arial"/>
        </w:rPr>
        <w:lastRenderedPageBreak/>
        <w:t xml:space="preserve">encompasses injection for enhanced oil recovery (e.g., injection of water or steam to increase oil production) and for disposal of produced fluids associated with oil and gas production. </w:t>
      </w:r>
    </w:p>
    <w:p w14:paraId="3A3CD728" w14:textId="77777777" w:rsidR="0010046A" w:rsidRPr="009B7FEE" w:rsidRDefault="0010046A" w:rsidP="0010046A">
      <w:pPr>
        <w:rPr>
          <w:rFonts w:ascii="Century Gothic" w:hAnsi="Century Gothic" w:cs="Arial"/>
          <w:b/>
          <w:bCs/>
        </w:rPr>
      </w:pPr>
    </w:p>
    <w:p w14:paraId="4B16E043" w14:textId="58FE377B" w:rsidR="0010046A" w:rsidRPr="009B7FEE" w:rsidRDefault="0010046A" w:rsidP="0010046A">
      <w:pPr>
        <w:rPr>
          <w:rFonts w:ascii="Century Gothic" w:hAnsi="Century Gothic" w:cs="Arial"/>
          <w:b/>
          <w:bCs/>
        </w:rPr>
      </w:pPr>
      <w:r w:rsidRPr="009B7FEE">
        <w:rPr>
          <w:rFonts w:ascii="Century Gothic" w:hAnsi="Century Gothic" w:cs="Arial"/>
        </w:rPr>
        <w:t>As part of its ongoing supervision of Safe Drinking Water Act implementation, the US EPA retains authority to designate specific water-containing geologic formations (i.e., aquifers) “exempt” from presumptive classification as a source of drinking water.</w:t>
      </w:r>
      <w:r w:rsidR="00F8254E">
        <w:rPr>
          <w:rFonts w:ascii="Century Gothic" w:hAnsi="Century Gothic" w:cs="Arial"/>
        </w:rPr>
        <w:t xml:space="preserve"> </w:t>
      </w:r>
      <w:r w:rsidRPr="009B7FEE">
        <w:rPr>
          <w:rFonts w:ascii="Century Gothic" w:hAnsi="Century Gothic" w:cs="Arial"/>
        </w:rPr>
        <w:t>This aquifer exemption process involves a careful case-by-case evaluation of characteristics affecting the aquifer’s potential for use as a source of drinking water based on specific criteria set by federal law.</w:t>
      </w:r>
      <w:r w:rsidR="00F8254E">
        <w:rPr>
          <w:rFonts w:ascii="Century Gothic" w:hAnsi="Century Gothic" w:cs="Arial"/>
        </w:rPr>
        <w:t xml:space="preserve"> </w:t>
      </w:r>
      <w:r w:rsidR="00BA5BBF">
        <w:rPr>
          <w:rFonts w:ascii="Century Gothic" w:hAnsi="Century Gothic" w:cs="Arial"/>
        </w:rPr>
        <w:t>CalGEM</w:t>
      </w:r>
      <w:r w:rsidR="008F6E4F" w:rsidRPr="009B7FEE">
        <w:rPr>
          <w:rFonts w:ascii="Century Gothic" w:hAnsi="Century Gothic" w:cs="Arial"/>
        </w:rPr>
        <w:t>, with concurrence from the State Water Board, may submit a proposal to the US EPA recommending that an aquifer be designated “exempt” for the purpose of receiving fluids from Class II injection wells.</w:t>
      </w:r>
      <w:r w:rsidR="00F8254E">
        <w:rPr>
          <w:rFonts w:ascii="Century Gothic" w:hAnsi="Century Gothic" w:cs="Arial"/>
        </w:rPr>
        <w:t xml:space="preserve"> </w:t>
      </w:r>
      <w:r w:rsidRPr="009B7FEE">
        <w:rPr>
          <w:rFonts w:ascii="Century Gothic" w:hAnsi="Century Gothic" w:cs="Arial"/>
        </w:rPr>
        <w:t xml:space="preserve">Although the decision to designate an aquifer exempt ultimately rests exclusively with the US EPA, California state law adds additional criteria that </w:t>
      </w:r>
      <w:r w:rsidR="00BA5BBF">
        <w:rPr>
          <w:rFonts w:ascii="Century Gothic" w:hAnsi="Century Gothic" w:cs="Arial"/>
        </w:rPr>
        <w:t>CalGEM</w:t>
      </w:r>
      <w:r w:rsidR="00231824" w:rsidRPr="009B7FEE">
        <w:rPr>
          <w:rFonts w:ascii="Century Gothic" w:hAnsi="Century Gothic" w:cs="Arial"/>
        </w:rPr>
        <w:t xml:space="preserve"> and </w:t>
      </w:r>
      <w:r w:rsidR="00C611B0">
        <w:rPr>
          <w:rFonts w:ascii="Century Gothic" w:hAnsi="Century Gothic" w:cs="Arial"/>
        </w:rPr>
        <w:t xml:space="preserve">the </w:t>
      </w:r>
      <w:r w:rsidR="00231824" w:rsidRPr="009B7FEE">
        <w:rPr>
          <w:rFonts w:ascii="Century Gothic" w:hAnsi="Century Gothic" w:cs="Arial"/>
        </w:rPr>
        <w:t xml:space="preserve">Water Boards </w:t>
      </w:r>
      <w:r w:rsidRPr="009B7FEE">
        <w:rPr>
          <w:rFonts w:ascii="Century Gothic" w:hAnsi="Century Gothic" w:cs="Arial"/>
        </w:rPr>
        <w:t>must evaluate before proposing an aquifer exemption to the US EPA.</w:t>
      </w:r>
      <w:r w:rsidR="00F8254E">
        <w:rPr>
          <w:rFonts w:ascii="Century Gothic" w:hAnsi="Century Gothic" w:cs="Arial"/>
        </w:rPr>
        <w:t xml:space="preserve"> </w:t>
      </w:r>
      <w:r w:rsidRPr="009B7FEE">
        <w:rPr>
          <w:rFonts w:ascii="Century Gothic" w:hAnsi="Century Gothic" w:cs="Arial"/>
        </w:rPr>
        <w:t>These state law criteria are intended to help ensure that injection activity will not negatively affect waters of potential beneficial use.</w:t>
      </w:r>
      <w:r w:rsidR="00F8254E">
        <w:rPr>
          <w:rFonts w:ascii="Century Gothic" w:hAnsi="Century Gothic" w:cs="Arial"/>
        </w:rPr>
        <w:t xml:space="preserve"> </w:t>
      </w:r>
      <w:r w:rsidRPr="009B7FEE">
        <w:rPr>
          <w:rFonts w:ascii="Century Gothic" w:hAnsi="Century Gothic" w:cs="Arial"/>
        </w:rPr>
        <w:t xml:space="preserve">The federal and state components of the aquifer exemption process are important mechanisms for regulating the safe operation of Class II injection in California. </w:t>
      </w:r>
    </w:p>
    <w:p w14:paraId="47A65629" w14:textId="77777777" w:rsidR="0010046A" w:rsidRPr="009B7FEE" w:rsidRDefault="0010046A" w:rsidP="0010046A">
      <w:pPr>
        <w:rPr>
          <w:rFonts w:ascii="Century Gothic" w:hAnsi="Century Gothic" w:cs="Arial"/>
          <w:b/>
          <w:bCs/>
        </w:rPr>
      </w:pPr>
    </w:p>
    <w:p w14:paraId="53444B58" w14:textId="4E6D5D0A" w:rsidR="0010046A" w:rsidRPr="00982B8D" w:rsidRDefault="0010046A" w:rsidP="0010046A">
      <w:pPr>
        <w:rPr>
          <w:rFonts w:ascii="Century Gothic" w:hAnsi="Century Gothic" w:cs="Arial"/>
        </w:rPr>
      </w:pPr>
      <w:r w:rsidRPr="009B7FEE">
        <w:rPr>
          <w:rFonts w:ascii="Century Gothic" w:hAnsi="Century Gothic" w:cs="Arial"/>
        </w:rPr>
        <w:t xml:space="preserve">In </w:t>
      </w:r>
      <w:r w:rsidR="00A645C6">
        <w:rPr>
          <w:rFonts w:ascii="Century Gothic" w:hAnsi="Century Gothic" w:cs="Arial"/>
        </w:rPr>
        <w:t>201</w:t>
      </w:r>
      <w:r w:rsidR="007D0A8C">
        <w:rPr>
          <w:rFonts w:ascii="Century Gothic" w:hAnsi="Century Gothic" w:cs="Arial"/>
        </w:rPr>
        <w:t>9</w:t>
      </w:r>
      <w:r w:rsidRPr="009B7FEE">
        <w:rPr>
          <w:rFonts w:ascii="Century Gothic" w:hAnsi="Century Gothic" w:cs="Arial"/>
        </w:rPr>
        <w:t xml:space="preserve">, </w:t>
      </w:r>
      <w:r w:rsidR="007D0A8C">
        <w:rPr>
          <w:rFonts w:ascii="Century Gothic" w:hAnsi="Century Gothic" w:cs="Arial"/>
        </w:rPr>
        <w:t xml:space="preserve">Premier Resource Management </w:t>
      </w:r>
      <w:r w:rsidR="00B1075E">
        <w:rPr>
          <w:rFonts w:ascii="Century Gothic" w:hAnsi="Century Gothic" w:cs="Arial"/>
        </w:rPr>
        <w:t>LLC,</w:t>
      </w:r>
      <w:r w:rsidRPr="009B7FEE">
        <w:rPr>
          <w:rFonts w:ascii="Century Gothic" w:hAnsi="Century Gothic" w:cs="Arial"/>
        </w:rPr>
        <w:t xml:space="preserve"> </w:t>
      </w:r>
      <w:r w:rsidR="00B1075E" w:rsidRPr="009B7FEE">
        <w:rPr>
          <w:rFonts w:ascii="Century Gothic" w:hAnsi="Century Gothic" w:cs="Arial"/>
        </w:rPr>
        <w:t>utilizing ne</w:t>
      </w:r>
      <w:r w:rsidR="00B1075E">
        <w:rPr>
          <w:rFonts w:ascii="Century Gothic" w:hAnsi="Century Gothic" w:cs="Arial"/>
        </w:rPr>
        <w:t>w</w:t>
      </w:r>
      <w:r w:rsidR="00B1075E" w:rsidRPr="009B7FEE">
        <w:rPr>
          <w:rFonts w:ascii="Century Gothic" w:hAnsi="Century Gothic" w:cs="Arial"/>
        </w:rPr>
        <w:t xml:space="preserve"> and</w:t>
      </w:r>
      <w:r w:rsidR="00B1075E">
        <w:rPr>
          <w:rFonts w:ascii="Century Gothic" w:hAnsi="Century Gothic" w:cs="Arial"/>
        </w:rPr>
        <w:t xml:space="preserve"> </w:t>
      </w:r>
      <w:r w:rsidR="00B1075E" w:rsidRPr="009B7FEE">
        <w:rPr>
          <w:rFonts w:ascii="Century Gothic" w:hAnsi="Century Gothic" w:cs="Arial"/>
        </w:rPr>
        <w:t>detailed information</w:t>
      </w:r>
      <w:r w:rsidR="00B1075E">
        <w:rPr>
          <w:rFonts w:ascii="Century Gothic" w:hAnsi="Century Gothic" w:cs="Arial"/>
        </w:rPr>
        <w:t xml:space="preserve">, </w:t>
      </w:r>
      <w:r w:rsidRPr="009B7FEE">
        <w:rPr>
          <w:rFonts w:ascii="Century Gothic" w:hAnsi="Century Gothic" w:cs="Arial"/>
        </w:rPr>
        <w:t xml:space="preserve">requested that </w:t>
      </w:r>
      <w:r w:rsidR="00BA5BBF">
        <w:rPr>
          <w:rFonts w:ascii="Century Gothic" w:hAnsi="Century Gothic" w:cs="Arial"/>
        </w:rPr>
        <w:t>CalGEM</w:t>
      </w:r>
      <w:r w:rsidRPr="009B7FEE">
        <w:rPr>
          <w:rFonts w:ascii="Century Gothic" w:hAnsi="Century Gothic" w:cs="Arial"/>
        </w:rPr>
        <w:t xml:space="preserve"> propose to the US EPA </w:t>
      </w:r>
      <w:r w:rsidR="005425C9">
        <w:rPr>
          <w:rFonts w:ascii="Century Gothic" w:hAnsi="Century Gothic" w:cs="Arial"/>
        </w:rPr>
        <w:t>an exemption</w:t>
      </w:r>
      <w:r w:rsidRPr="009B7FEE">
        <w:rPr>
          <w:rFonts w:ascii="Century Gothic" w:hAnsi="Century Gothic" w:cs="Arial"/>
        </w:rPr>
        <w:t xml:space="preserve"> for</w:t>
      </w:r>
      <w:r w:rsidR="005425C9">
        <w:rPr>
          <w:rFonts w:ascii="Century Gothic" w:hAnsi="Century Gothic" w:cs="Arial"/>
        </w:rPr>
        <w:t xml:space="preserve"> a portion of</w:t>
      </w:r>
      <w:r w:rsidRPr="009B7FEE">
        <w:rPr>
          <w:rFonts w:ascii="Century Gothic" w:hAnsi="Century Gothic" w:cs="Arial"/>
        </w:rPr>
        <w:t xml:space="preserve"> the </w:t>
      </w:r>
      <w:r w:rsidR="007D0A8C">
        <w:rPr>
          <w:rFonts w:ascii="Century Gothic" w:hAnsi="Century Gothic" w:cs="Arial"/>
        </w:rPr>
        <w:t>Tulare Formation</w:t>
      </w:r>
      <w:r w:rsidR="00B1075E">
        <w:rPr>
          <w:rFonts w:ascii="Century Gothic" w:hAnsi="Century Gothic" w:cs="Arial"/>
        </w:rPr>
        <w:t xml:space="preserve"> between the Antelope Hills </w:t>
      </w:r>
      <w:r w:rsidR="00113C7E">
        <w:rPr>
          <w:rFonts w:ascii="Century Gothic" w:hAnsi="Century Gothic" w:cs="Arial"/>
        </w:rPr>
        <w:t xml:space="preserve">and North Antelope Hills </w:t>
      </w:r>
      <w:r w:rsidR="00B1075E">
        <w:rPr>
          <w:rFonts w:ascii="Century Gothic" w:hAnsi="Century Gothic" w:cs="Arial"/>
        </w:rPr>
        <w:t>Oil Fields.</w:t>
      </w:r>
      <w:r w:rsidR="00F8254E">
        <w:rPr>
          <w:rFonts w:ascii="Century Gothic" w:hAnsi="Century Gothic" w:cs="Arial"/>
        </w:rPr>
        <w:t xml:space="preserve"> </w:t>
      </w:r>
      <w:r w:rsidR="00B1075E">
        <w:rPr>
          <w:rFonts w:ascii="Century Gothic" w:hAnsi="Century Gothic" w:cs="Arial"/>
        </w:rPr>
        <w:t xml:space="preserve">The proposed exemption interval includes the basal </w:t>
      </w:r>
      <w:r w:rsidR="00A53A25">
        <w:rPr>
          <w:rFonts w:ascii="Century Gothic" w:hAnsi="Century Gothic" w:cs="Arial"/>
        </w:rPr>
        <w:t>p</w:t>
      </w:r>
      <w:r w:rsidR="00B1075E">
        <w:rPr>
          <w:rFonts w:ascii="Century Gothic" w:hAnsi="Century Gothic" w:cs="Arial"/>
        </w:rPr>
        <w:t>ortions of the Tulare Formation, identified as the Tulare Oil Sand, which exists below the Tulare Clay.</w:t>
      </w:r>
      <w:r w:rsidR="00F8254E">
        <w:rPr>
          <w:rFonts w:ascii="Century Gothic" w:hAnsi="Century Gothic" w:cs="Arial"/>
        </w:rPr>
        <w:t xml:space="preserve"> </w:t>
      </w:r>
      <w:r w:rsidRPr="009B7FEE">
        <w:rPr>
          <w:rFonts w:ascii="Century Gothic" w:hAnsi="Century Gothic" w:cs="Arial"/>
        </w:rPr>
        <w:t xml:space="preserve">Based on a rigorous review of the supporting </w:t>
      </w:r>
      <w:r w:rsidR="00EE2933" w:rsidRPr="009B7FEE">
        <w:rPr>
          <w:rFonts w:ascii="Century Gothic" w:hAnsi="Century Gothic" w:cs="Arial"/>
        </w:rPr>
        <w:t>information</w:t>
      </w:r>
      <w:r w:rsidRPr="009B7FEE">
        <w:rPr>
          <w:rFonts w:ascii="Century Gothic" w:hAnsi="Century Gothic" w:cs="Arial"/>
        </w:rPr>
        <w:t xml:space="preserve">, and with preliminary concurrence from the State Water Board, </w:t>
      </w:r>
      <w:r w:rsidR="00BA5BBF">
        <w:rPr>
          <w:rFonts w:ascii="Century Gothic" w:hAnsi="Century Gothic" w:cs="Arial"/>
        </w:rPr>
        <w:t>CalGEM</w:t>
      </w:r>
      <w:r w:rsidRPr="009B7FEE">
        <w:rPr>
          <w:rFonts w:ascii="Century Gothic" w:hAnsi="Century Gothic" w:cs="Arial"/>
        </w:rPr>
        <w:t xml:space="preserve"> has determined that the </w:t>
      </w:r>
      <w:r w:rsidR="00B1075E">
        <w:rPr>
          <w:rFonts w:ascii="Century Gothic" w:hAnsi="Century Gothic" w:cs="Arial"/>
        </w:rPr>
        <w:t xml:space="preserve">Tulare Oil Sand </w:t>
      </w:r>
      <w:r w:rsidRPr="009B7FEE">
        <w:rPr>
          <w:rFonts w:ascii="Century Gothic" w:hAnsi="Century Gothic" w:cs="Arial"/>
        </w:rPr>
        <w:t>identified</w:t>
      </w:r>
      <w:r w:rsidR="00B1075E">
        <w:rPr>
          <w:rFonts w:ascii="Century Gothic" w:hAnsi="Century Gothic" w:cs="Arial"/>
        </w:rPr>
        <w:t xml:space="preserve"> within the </w:t>
      </w:r>
      <w:r w:rsidRPr="009B7FEE">
        <w:rPr>
          <w:rFonts w:ascii="Century Gothic" w:hAnsi="Century Gothic" w:cs="Arial"/>
        </w:rPr>
        <w:t xml:space="preserve">Proposal </w:t>
      </w:r>
      <w:r w:rsidR="00072C8E" w:rsidRPr="009B7FEE">
        <w:rPr>
          <w:rFonts w:ascii="Century Gothic" w:hAnsi="Century Gothic" w:cs="Arial"/>
        </w:rPr>
        <w:t>Area</w:t>
      </w:r>
      <w:r w:rsidRPr="009B7FEE">
        <w:rPr>
          <w:rFonts w:ascii="Century Gothic" w:hAnsi="Century Gothic" w:cs="Arial"/>
        </w:rPr>
        <w:t xml:space="preserve"> meet</w:t>
      </w:r>
      <w:r w:rsidR="0075083E">
        <w:rPr>
          <w:rFonts w:ascii="Century Gothic" w:hAnsi="Century Gothic" w:cs="Arial"/>
        </w:rPr>
        <w:t>s</w:t>
      </w:r>
      <w:r w:rsidRPr="009B7FEE">
        <w:rPr>
          <w:rFonts w:ascii="Century Gothic" w:hAnsi="Century Gothic" w:cs="Arial"/>
        </w:rPr>
        <w:t xml:space="preserve"> the criteria </w:t>
      </w:r>
      <w:r w:rsidR="00526C8B" w:rsidRPr="009B7FEE">
        <w:rPr>
          <w:rFonts w:ascii="Century Gothic" w:hAnsi="Century Gothic" w:cs="Arial"/>
        </w:rPr>
        <w:t>for proposal of an aquifer exemption recommendation to the US EPA.</w:t>
      </w:r>
      <w:r w:rsidRPr="009B7FEE">
        <w:rPr>
          <w:rFonts w:ascii="Century Gothic" w:hAnsi="Century Gothic" w:cs="Arial"/>
        </w:rPr>
        <w:t xml:space="preserve"> </w:t>
      </w:r>
    </w:p>
    <w:p w14:paraId="7E0B50BF" w14:textId="77777777" w:rsidR="0010046A" w:rsidRPr="009B7FEE" w:rsidRDefault="0010046A" w:rsidP="0010046A">
      <w:pPr>
        <w:rPr>
          <w:rFonts w:ascii="Century Gothic" w:hAnsi="Century Gothic" w:cs="Arial"/>
          <w:b/>
          <w:bCs/>
        </w:rPr>
      </w:pPr>
    </w:p>
    <w:p w14:paraId="1325B12A" w14:textId="2677C44D" w:rsidR="0010046A" w:rsidRPr="009B7FEE" w:rsidRDefault="0010046A" w:rsidP="0010046A">
      <w:pPr>
        <w:rPr>
          <w:rFonts w:ascii="Century Gothic" w:hAnsi="Century Gothic" w:cs="Arial"/>
          <w:b/>
          <w:bCs/>
        </w:rPr>
      </w:pPr>
      <w:r w:rsidRPr="009B7FEE">
        <w:rPr>
          <w:rFonts w:ascii="Century Gothic" w:hAnsi="Century Gothic" w:cs="Arial"/>
        </w:rPr>
        <w:t xml:space="preserve">In accordance with section 146.4 of title 40 of the Code of Federal Regulations (40 CFR), the </w:t>
      </w:r>
      <w:r w:rsidR="00B11F6F" w:rsidRPr="009B7FEE">
        <w:rPr>
          <w:rFonts w:ascii="Century Gothic" w:hAnsi="Century Gothic" w:cs="Arial"/>
        </w:rPr>
        <w:t>information presented in the proposal materials supports a conclusion</w:t>
      </w:r>
      <w:r w:rsidRPr="009B7FEE">
        <w:rPr>
          <w:rFonts w:ascii="Century Gothic" w:hAnsi="Century Gothic" w:cs="Arial"/>
        </w:rPr>
        <w:t xml:space="preserve"> that the Proposal Area does not currently serve as a source of drinking water, and that the Proposal Area </w:t>
      </w:r>
      <w:r w:rsidR="00133957" w:rsidRPr="00133957">
        <w:rPr>
          <w:rFonts w:ascii="Century Gothic" w:hAnsi="Century Gothic" w:cs="Arial"/>
        </w:rPr>
        <w:t>is not reasonably expected</w:t>
      </w:r>
      <w:r w:rsidR="00321969">
        <w:rPr>
          <w:rFonts w:ascii="Century Gothic" w:hAnsi="Century Gothic" w:cs="Arial"/>
        </w:rPr>
        <w:t xml:space="preserve"> to</w:t>
      </w:r>
      <w:r w:rsidR="00133957" w:rsidRPr="00133957">
        <w:rPr>
          <w:rFonts w:ascii="Century Gothic" w:hAnsi="Century Gothic" w:cs="Arial"/>
        </w:rPr>
        <w:t xml:space="preserve"> </w:t>
      </w:r>
      <w:r w:rsidRPr="009B7FEE">
        <w:rPr>
          <w:rFonts w:ascii="Century Gothic" w:hAnsi="Century Gothic" w:cs="Arial"/>
        </w:rPr>
        <w:t xml:space="preserve"> serve as a source of drinking water</w:t>
      </w:r>
      <w:r w:rsidR="00856D40" w:rsidRPr="009B7FEE">
        <w:rPr>
          <w:rFonts w:ascii="Century Gothic" w:hAnsi="Century Gothic" w:cs="Arial"/>
        </w:rPr>
        <w:t>,</w:t>
      </w:r>
      <w:r w:rsidRPr="009B7FEE">
        <w:rPr>
          <w:rFonts w:ascii="Century Gothic" w:hAnsi="Century Gothic" w:cs="Arial"/>
        </w:rPr>
        <w:t xml:space="preserve"> because </w:t>
      </w:r>
      <w:r w:rsidR="00AF763A">
        <w:rPr>
          <w:rFonts w:ascii="Century Gothic" w:hAnsi="Century Gothic" w:cs="Arial"/>
        </w:rPr>
        <w:t xml:space="preserve">of </w:t>
      </w:r>
      <w:r w:rsidR="007D383A">
        <w:rPr>
          <w:rFonts w:ascii="Century Gothic" w:hAnsi="Century Gothic" w:cs="Arial"/>
        </w:rPr>
        <w:t>elevated</w:t>
      </w:r>
      <w:r w:rsidR="00AF763A">
        <w:rPr>
          <w:rFonts w:ascii="Century Gothic" w:hAnsi="Century Gothic" w:cs="Arial"/>
        </w:rPr>
        <w:t xml:space="preserve"> TDS concentrations, presence of hydrocarbons, and </w:t>
      </w:r>
      <w:r w:rsidR="008529E1">
        <w:rPr>
          <w:rFonts w:ascii="Century Gothic" w:hAnsi="Century Gothic" w:cs="Arial"/>
        </w:rPr>
        <w:t xml:space="preserve">presence of </w:t>
      </w:r>
      <w:r w:rsidR="00AF763A">
        <w:rPr>
          <w:rFonts w:ascii="Century Gothic" w:hAnsi="Century Gothic" w:cs="Arial"/>
        </w:rPr>
        <w:t>other constituents harmful to human and plan</w:t>
      </w:r>
      <w:r w:rsidR="00584819">
        <w:rPr>
          <w:rFonts w:ascii="Century Gothic" w:hAnsi="Century Gothic" w:cs="Arial"/>
        </w:rPr>
        <w:t>t</w:t>
      </w:r>
      <w:r w:rsidR="00AF763A">
        <w:rPr>
          <w:rFonts w:ascii="Century Gothic" w:hAnsi="Century Gothic" w:cs="Arial"/>
        </w:rPr>
        <w:t xml:space="preserve"> health </w:t>
      </w:r>
      <w:r w:rsidR="00584819">
        <w:rPr>
          <w:rFonts w:ascii="Century Gothic" w:hAnsi="Century Gothic" w:cs="Arial"/>
        </w:rPr>
        <w:t>such as boron</w:t>
      </w:r>
      <w:r w:rsidRPr="009B7FEE">
        <w:rPr>
          <w:rFonts w:ascii="Century Gothic" w:hAnsi="Century Gothic" w:cs="Arial"/>
        </w:rPr>
        <w:t>.</w:t>
      </w:r>
      <w:r w:rsidR="00F8254E">
        <w:rPr>
          <w:rFonts w:ascii="Century Gothic" w:hAnsi="Century Gothic" w:cs="Arial"/>
        </w:rPr>
        <w:t xml:space="preserve"> </w:t>
      </w:r>
      <w:r w:rsidRPr="009B7FEE">
        <w:rPr>
          <w:rFonts w:ascii="Century Gothic" w:hAnsi="Century Gothic" w:cs="Arial"/>
        </w:rPr>
        <w:t xml:space="preserve">In accordance with California Public Resources Code (PRC) section 3131, </w:t>
      </w:r>
      <w:r w:rsidR="00A6374F" w:rsidRPr="009B7FEE">
        <w:rPr>
          <w:rFonts w:ascii="Century Gothic" w:hAnsi="Century Gothic" w:cs="Arial"/>
        </w:rPr>
        <w:t xml:space="preserve">information presented in the proposal materials </w:t>
      </w:r>
      <w:r w:rsidRPr="009B7FEE">
        <w:rPr>
          <w:rFonts w:ascii="Century Gothic" w:hAnsi="Century Gothic" w:cs="Arial"/>
        </w:rPr>
        <w:t xml:space="preserve">also </w:t>
      </w:r>
      <w:r w:rsidR="00D041EA" w:rsidRPr="009B7FEE">
        <w:rPr>
          <w:rFonts w:ascii="Century Gothic" w:hAnsi="Century Gothic" w:cs="Arial"/>
        </w:rPr>
        <w:t>support</w:t>
      </w:r>
      <w:r w:rsidR="00A6374F" w:rsidRPr="009B7FEE">
        <w:rPr>
          <w:rFonts w:ascii="Century Gothic" w:hAnsi="Century Gothic" w:cs="Arial"/>
        </w:rPr>
        <w:t>s</w:t>
      </w:r>
      <w:r w:rsidR="00D041EA" w:rsidRPr="009B7FEE">
        <w:rPr>
          <w:rFonts w:ascii="Century Gothic" w:hAnsi="Century Gothic" w:cs="Arial"/>
        </w:rPr>
        <w:t xml:space="preserve"> a conclusion</w:t>
      </w:r>
      <w:r w:rsidRPr="009B7FEE">
        <w:rPr>
          <w:rFonts w:ascii="Century Gothic" w:hAnsi="Century Gothic" w:cs="Arial"/>
        </w:rPr>
        <w:t xml:space="preserve"> that injection of fluids into the Proposal Area will not affect the quality of water that is, or may reasonably be, used for any beneficial use, and that injected fluids will remain confined in the Proposal Area.</w:t>
      </w:r>
    </w:p>
    <w:p w14:paraId="280A62D0" w14:textId="77777777" w:rsidR="0010046A" w:rsidRPr="009B7FEE" w:rsidRDefault="0010046A" w:rsidP="0010046A">
      <w:pPr>
        <w:rPr>
          <w:rFonts w:ascii="Century Gothic" w:hAnsi="Century Gothic" w:cs="Arial"/>
          <w:b/>
          <w:bCs/>
        </w:rPr>
      </w:pPr>
    </w:p>
    <w:p w14:paraId="317D9523" w14:textId="20368C90" w:rsidR="0010046A" w:rsidRPr="009B7FEE" w:rsidRDefault="0010046A" w:rsidP="0010046A">
      <w:pPr>
        <w:rPr>
          <w:rFonts w:ascii="Century Gothic" w:hAnsi="Century Gothic" w:cs="Arial"/>
          <w:b/>
          <w:bCs/>
        </w:rPr>
      </w:pPr>
      <w:r w:rsidRPr="009B7FEE">
        <w:rPr>
          <w:rFonts w:ascii="Century Gothic" w:hAnsi="Century Gothic" w:cs="Arial"/>
        </w:rPr>
        <w:t>If approved by the US EPA, this aquifer exemption proposal would clarify that the Proposal Area may be a suitable location for Class II injection to occur.</w:t>
      </w:r>
      <w:r w:rsidR="00F8254E">
        <w:rPr>
          <w:rFonts w:ascii="Century Gothic" w:hAnsi="Century Gothic" w:cs="Arial"/>
        </w:rPr>
        <w:t xml:space="preserve"> </w:t>
      </w:r>
      <w:r w:rsidRPr="009B7FEE">
        <w:rPr>
          <w:rFonts w:ascii="Century Gothic" w:hAnsi="Century Gothic" w:cs="Arial"/>
        </w:rPr>
        <w:t>However, approval of the proposed aquifer exemption would not, by itself, authorize any new injection activity. Approval to operate a Class II injection project involves a regulatory process separate from aquifer exemption.</w:t>
      </w:r>
      <w:r w:rsidR="00F8254E">
        <w:rPr>
          <w:rFonts w:ascii="Century Gothic" w:hAnsi="Century Gothic" w:cs="Arial"/>
        </w:rPr>
        <w:t xml:space="preserve"> </w:t>
      </w:r>
      <w:r w:rsidRPr="009B7FEE">
        <w:rPr>
          <w:rFonts w:ascii="Century Gothic" w:hAnsi="Century Gothic" w:cs="Arial"/>
        </w:rPr>
        <w:t xml:space="preserve">The approval process for operation of a Class II injection project includes evaluation </w:t>
      </w:r>
      <w:r w:rsidR="00856D40" w:rsidRPr="009B7FEE">
        <w:rPr>
          <w:rFonts w:ascii="Century Gothic" w:hAnsi="Century Gothic" w:cs="Arial"/>
        </w:rPr>
        <w:t xml:space="preserve">of </w:t>
      </w:r>
      <w:r w:rsidRPr="009B7FEE">
        <w:rPr>
          <w:rFonts w:ascii="Century Gothic" w:hAnsi="Century Gothic" w:cs="Arial"/>
        </w:rPr>
        <w:t xml:space="preserve">well construction, pressure limits, and many other project-specific details not considered in the context of an aquifer exemption proposal. </w:t>
      </w:r>
    </w:p>
    <w:p w14:paraId="39CF35CF" w14:textId="77777777" w:rsidR="0010046A" w:rsidRPr="009B7FEE" w:rsidRDefault="0010046A" w:rsidP="0010046A">
      <w:pPr>
        <w:rPr>
          <w:rFonts w:ascii="Century Gothic" w:hAnsi="Century Gothic" w:cs="Arial"/>
          <w:b/>
          <w:bCs/>
        </w:rPr>
      </w:pPr>
    </w:p>
    <w:p w14:paraId="348EDF6A" w14:textId="2EF0A499" w:rsidR="0010046A" w:rsidRPr="0013517D" w:rsidRDefault="0010046A" w:rsidP="00745B95">
      <w:pPr>
        <w:rPr>
          <w:rFonts w:ascii="Century Gothic" w:hAnsi="Century Gothic" w:cs="Arial"/>
        </w:rPr>
      </w:pPr>
      <w:r w:rsidRPr="009B7FEE">
        <w:rPr>
          <w:rFonts w:ascii="Century Gothic" w:hAnsi="Century Gothic" w:cs="Arial"/>
        </w:rPr>
        <w:lastRenderedPageBreak/>
        <w:t xml:space="preserve">Additional information about this aquifer exemption </w:t>
      </w:r>
      <w:r w:rsidR="000A2B66" w:rsidRPr="009B7FEE">
        <w:rPr>
          <w:rFonts w:ascii="Century Gothic" w:hAnsi="Century Gothic" w:cs="Arial"/>
        </w:rPr>
        <w:t>proposal</w:t>
      </w:r>
      <w:r w:rsidRPr="009B7FEE">
        <w:rPr>
          <w:rFonts w:ascii="Century Gothic" w:hAnsi="Century Gothic" w:cs="Arial"/>
        </w:rPr>
        <w:t xml:space="preserve"> may be found in the supporting proposal materials.</w:t>
      </w:r>
      <w:r w:rsidRPr="009B7FEE" w:rsidDel="0010046A">
        <w:rPr>
          <w:rFonts w:ascii="Century Gothic" w:hAnsi="Century Gothic" w:cs="Arial"/>
        </w:rPr>
        <w:t xml:space="preserve"> </w:t>
      </w:r>
    </w:p>
    <w:p w14:paraId="5A5CA346" w14:textId="77777777" w:rsidR="0013517D" w:rsidRPr="009B7FEE" w:rsidRDefault="0013517D" w:rsidP="00745B95">
      <w:pPr>
        <w:rPr>
          <w:rFonts w:ascii="Century Gothic" w:eastAsia="Calibri" w:hAnsi="Century Gothic" w:cs="Arial"/>
        </w:rPr>
      </w:pPr>
    </w:p>
    <w:p w14:paraId="34BC47FA" w14:textId="77777777" w:rsidR="0010046A" w:rsidRPr="009B7FEE" w:rsidRDefault="0010046A" w:rsidP="0010046A">
      <w:pPr>
        <w:pStyle w:val="Heading1"/>
        <w:ind w:left="0"/>
        <w:rPr>
          <w:rFonts w:ascii="Century Gothic" w:hAnsi="Century Gothic" w:cs="Arial"/>
          <w:szCs w:val="22"/>
        </w:rPr>
      </w:pPr>
      <w:r w:rsidRPr="009B7FEE">
        <w:rPr>
          <w:rFonts w:ascii="Century Gothic" w:hAnsi="Century Gothic" w:cs="Arial"/>
          <w:szCs w:val="22"/>
        </w:rPr>
        <w:t>LOCATION</w:t>
      </w:r>
    </w:p>
    <w:p w14:paraId="689989F3" w14:textId="77777777" w:rsidR="00000F26" w:rsidRPr="009B7FEE" w:rsidRDefault="00000F26" w:rsidP="0010046A">
      <w:pPr>
        <w:rPr>
          <w:rFonts w:ascii="Century Gothic" w:hAnsi="Century Gothic" w:cs="Arial"/>
          <w:b/>
        </w:rPr>
      </w:pPr>
    </w:p>
    <w:p w14:paraId="631C5F67" w14:textId="6F49B080" w:rsidR="00603263" w:rsidRPr="00B82D1C" w:rsidRDefault="00603263" w:rsidP="00603263">
      <w:pPr>
        <w:rPr>
          <w:rFonts w:ascii="Century Gothic" w:hAnsi="Century Gothic" w:cs="Arial"/>
          <w:b/>
          <w:bCs/>
        </w:rPr>
      </w:pPr>
      <w:r w:rsidRPr="00B82D1C">
        <w:rPr>
          <w:rFonts w:ascii="Century Gothic" w:hAnsi="Century Gothic" w:cs="Arial"/>
        </w:rPr>
        <w:t xml:space="preserve">The </w:t>
      </w:r>
      <w:r w:rsidR="006D3E38" w:rsidRPr="00B82D1C">
        <w:rPr>
          <w:rFonts w:ascii="Century Gothic" w:hAnsi="Century Gothic" w:cs="Arial"/>
        </w:rPr>
        <w:t>Proposal Area</w:t>
      </w:r>
      <w:r w:rsidRPr="00B82D1C">
        <w:rPr>
          <w:rFonts w:ascii="Century Gothic" w:hAnsi="Century Gothic" w:cs="Arial"/>
        </w:rPr>
        <w:t xml:space="preserve"> </w:t>
      </w:r>
      <w:proofErr w:type="gramStart"/>
      <w:r w:rsidRPr="00B82D1C">
        <w:rPr>
          <w:rFonts w:ascii="Century Gothic" w:hAnsi="Century Gothic" w:cs="Arial"/>
        </w:rPr>
        <w:t>is located in</w:t>
      </w:r>
      <w:proofErr w:type="gramEnd"/>
      <w:r w:rsidRPr="00B82D1C">
        <w:rPr>
          <w:rFonts w:ascii="Century Gothic" w:hAnsi="Century Gothic" w:cs="Arial"/>
        </w:rPr>
        <w:t xml:space="preserve"> the </w:t>
      </w:r>
      <w:r w:rsidR="00C34FD3" w:rsidRPr="00B82D1C">
        <w:rPr>
          <w:rFonts w:ascii="Century Gothic" w:hAnsi="Century Gothic" w:cs="Arial"/>
        </w:rPr>
        <w:t>northwestern</w:t>
      </w:r>
      <w:r w:rsidRPr="00B82D1C">
        <w:rPr>
          <w:rFonts w:ascii="Century Gothic" w:hAnsi="Century Gothic" w:cs="Arial"/>
        </w:rPr>
        <w:t xml:space="preserve"> portion of Kern County (southern San Joaquin Valley), approximately </w:t>
      </w:r>
      <w:r w:rsidR="00C34FD3" w:rsidRPr="00B82D1C">
        <w:rPr>
          <w:rFonts w:ascii="Century Gothic" w:hAnsi="Century Gothic" w:cs="Arial"/>
        </w:rPr>
        <w:t>forty-five</w:t>
      </w:r>
      <w:r w:rsidRPr="00B82D1C">
        <w:rPr>
          <w:rFonts w:ascii="Century Gothic" w:hAnsi="Century Gothic" w:cs="Arial"/>
        </w:rPr>
        <w:t xml:space="preserve"> miles nort</w:t>
      </w:r>
      <w:r w:rsidR="00C34FD3" w:rsidRPr="00B82D1C">
        <w:rPr>
          <w:rFonts w:ascii="Century Gothic" w:hAnsi="Century Gothic" w:cs="Arial"/>
        </w:rPr>
        <w:t>hwest</w:t>
      </w:r>
      <w:r w:rsidRPr="00B82D1C">
        <w:rPr>
          <w:rFonts w:ascii="Century Gothic" w:hAnsi="Century Gothic" w:cs="Arial"/>
        </w:rPr>
        <w:t xml:space="preserve"> of Bakersfield, California within Township 2</w:t>
      </w:r>
      <w:r w:rsidR="00C34FD3" w:rsidRPr="00B82D1C">
        <w:rPr>
          <w:rFonts w:ascii="Century Gothic" w:hAnsi="Century Gothic" w:cs="Arial"/>
        </w:rPr>
        <w:t>7</w:t>
      </w:r>
      <w:r w:rsidRPr="00B82D1C">
        <w:rPr>
          <w:rFonts w:ascii="Century Gothic" w:hAnsi="Century Gothic" w:cs="Arial"/>
        </w:rPr>
        <w:t xml:space="preserve"> South / Range </w:t>
      </w:r>
      <w:r w:rsidR="00C34FD3" w:rsidRPr="00B82D1C">
        <w:rPr>
          <w:rFonts w:ascii="Century Gothic" w:hAnsi="Century Gothic" w:cs="Arial"/>
        </w:rPr>
        <w:t>19</w:t>
      </w:r>
      <w:r w:rsidRPr="00B82D1C">
        <w:rPr>
          <w:rFonts w:ascii="Century Gothic" w:hAnsi="Century Gothic" w:cs="Arial"/>
        </w:rPr>
        <w:t xml:space="preserve"> East (T2</w:t>
      </w:r>
      <w:r w:rsidR="00C34FD3" w:rsidRPr="00B82D1C">
        <w:rPr>
          <w:rFonts w:ascii="Century Gothic" w:hAnsi="Century Gothic" w:cs="Arial"/>
        </w:rPr>
        <w:t>7</w:t>
      </w:r>
      <w:r w:rsidRPr="00B82D1C">
        <w:rPr>
          <w:rFonts w:ascii="Century Gothic" w:hAnsi="Century Gothic" w:cs="Arial"/>
        </w:rPr>
        <w:t>S/R</w:t>
      </w:r>
      <w:r w:rsidR="00C34FD3" w:rsidRPr="00B82D1C">
        <w:rPr>
          <w:rFonts w:ascii="Century Gothic" w:hAnsi="Century Gothic" w:cs="Arial"/>
        </w:rPr>
        <w:t>19</w:t>
      </w:r>
      <w:r w:rsidRPr="00B82D1C">
        <w:rPr>
          <w:rFonts w:ascii="Century Gothic" w:hAnsi="Century Gothic" w:cs="Arial"/>
        </w:rPr>
        <w:t>E)</w:t>
      </w:r>
      <w:r w:rsidR="00B82D1C" w:rsidRPr="00B82D1C">
        <w:rPr>
          <w:rFonts w:ascii="Century Gothic" w:hAnsi="Century Gothic" w:cs="Arial"/>
        </w:rPr>
        <w:t xml:space="preserve">, </w:t>
      </w:r>
      <w:r w:rsidRPr="00B82D1C">
        <w:rPr>
          <w:rFonts w:ascii="Century Gothic" w:hAnsi="Century Gothic" w:cs="Arial"/>
        </w:rPr>
        <w:t>T2</w:t>
      </w:r>
      <w:r w:rsidR="00C34FD3" w:rsidRPr="00B82D1C">
        <w:rPr>
          <w:rFonts w:ascii="Century Gothic" w:hAnsi="Century Gothic" w:cs="Arial"/>
        </w:rPr>
        <w:t>7</w:t>
      </w:r>
      <w:r w:rsidRPr="00B82D1C">
        <w:rPr>
          <w:rFonts w:ascii="Century Gothic" w:hAnsi="Century Gothic" w:cs="Arial"/>
        </w:rPr>
        <w:t>S/R2</w:t>
      </w:r>
      <w:r w:rsidR="00C34FD3" w:rsidRPr="00B82D1C">
        <w:rPr>
          <w:rFonts w:ascii="Century Gothic" w:hAnsi="Century Gothic" w:cs="Arial"/>
        </w:rPr>
        <w:t>0</w:t>
      </w:r>
      <w:r w:rsidRPr="00B82D1C">
        <w:rPr>
          <w:rFonts w:ascii="Century Gothic" w:hAnsi="Century Gothic" w:cs="Arial"/>
        </w:rPr>
        <w:t>E,</w:t>
      </w:r>
      <w:r w:rsidR="00B82D1C" w:rsidRPr="00B82D1C">
        <w:rPr>
          <w:rFonts w:ascii="Century Gothic" w:hAnsi="Century Gothic" w:cs="Arial"/>
        </w:rPr>
        <w:t xml:space="preserve"> and T28S/R20E</w:t>
      </w:r>
      <w:r w:rsidRPr="00B82D1C">
        <w:rPr>
          <w:rFonts w:ascii="Century Gothic" w:hAnsi="Century Gothic" w:cs="Arial"/>
        </w:rPr>
        <w:t xml:space="preserve"> Mount Diablo</w:t>
      </w:r>
      <w:r w:rsidRPr="00B82D1C">
        <w:rPr>
          <w:rFonts w:ascii="Century Gothic" w:hAnsi="Century Gothic" w:cs="Arial"/>
          <w:b/>
          <w:bCs/>
        </w:rPr>
        <w:t> </w:t>
      </w:r>
    </w:p>
    <w:p w14:paraId="5284DFE3" w14:textId="1EF67B5B" w:rsidR="00603263" w:rsidRPr="00603263" w:rsidRDefault="00603263" w:rsidP="00603263">
      <w:pPr>
        <w:rPr>
          <w:rFonts w:ascii="Century Gothic" w:hAnsi="Century Gothic" w:cs="Arial"/>
          <w:b/>
          <w:bCs/>
        </w:rPr>
      </w:pPr>
      <w:r w:rsidRPr="00B82D1C">
        <w:rPr>
          <w:rFonts w:ascii="Century Gothic" w:hAnsi="Century Gothic" w:cs="Arial"/>
        </w:rPr>
        <w:t>Basin and Meridian (M.D. B.&amp;M.).</w:t>
      </w:r>
      <w:r w:rsidRPr="00603263">
        <w:rPr>
          <w:rFonts w:ascii="Century Gothic" w:hAnsi="Century Gothic" w:cs="Arial"/>
        </w:rPr>
        <w:t> </w:t>
      </w:r>
    </w:p>
    <w:p w14:paraId="0F96FC10" w14:textId="39CE2039" w:rsidR="00213B67" w:rsidRPr="009B7FEE" w:rsidRDefault="00213B67" w:rsidP="0010046A">
      <w:pPr>
        <w:rPr>
          <w:rFonts w:ascii="Century Gothic" w:hAnsi="Century Gothic" w:cs="Arial"/>
          <w:b/>
        </w:rPr>
      </w:pPr>
    </w:p>
    <w:p w14:paraId="33B6EFA4" w14:textId="3265EF85" w:rsidR="00213B67" w:rsidRPr="009B7FEE" w:rsidRDefault="00213B67" w:rsidP="0010046A">
      <w:pPr>
        <w:rPr>
          <w:rFonts w:ascii="Century Gothic" w:hAnsi="Century Gothic" w:cs="Arial"/>
          <w:b/>
        </w:rPr>
      </w:pPr>
      <w:r w:rsidRPr="009B7FEE">
        <w:rPr>
          <w:rFonts w:ascii="Century Gothic" w:hAnsi="Century Gothic" w:cs="Arial"/>
        </w:rPr>
        <w:t xml:space="preserve">A map depicting the boundaries of the Proposal Area appears at the end of this document. </w:t>
      </w:r>
    </w:p>
    <w:p w14:paraId="149FB3DE" w14:textId="5D0F90B4" w:rsidR="00D97F9A" w:rsidRDefault="00D97F9A" w:rsidP="00745B95">
      <w:pPr>
        <w:rPr>
          <w:rFonts w:ascii="Century Gothic" w:hAnsi="Century Gothic" w:cs="Arial"/>
        </w:rPr>
      </w:pPr>
    </w:p>
    <w:p w14:paraId="23722D81" w14:textId="1DDA7FD4" w:rsidR="00E534ED" w:rsidRPr="009B7FEE" w:rsidRDefault="00FB5AF4" w:rsidP="00745B95">
      <w:pPr>
        <w:pStyle w:val="Heading1"/>
        <w:ind w:left="0"/>
        <w:rPr>
          <w:rFonts w:ascii="Century Gothic" w:hAnsi="Century Gothic" w:cs="Arial"/>
          <w:szCs w:val="22"/>
        </w:rPr>
      </w:pPr>
      <w:r w:rsidRPr="009B7FEE">
        <w:rPr>
          <w:rFonts w:ascii="Century Gothic" w:hAnsi="Century Gothic" w:cs="Arial"/>
          <w:szCs w:val="22"/>
        </w:rPr>
        <w:t>AQUIFER EXEMPTION CRITERIA</w:t>
      </w:r>
    </w:p>
    <w:p w14:paraId="27400877" w14:textId="77777777" w:rsidR="0008590D" w:rsidRPr="009B7FEE" w:rsidRDefault="0008590D" w:rsidP="00745B95">
      <w:pPr>
        <w:rPr>
          <w:rFonts w:ascii="Century Gothic" w:hAnsi="Century Gothic" w:cs="Arial"/>
        </w:rPr>
      </w:pPr>
    </w:p>
    <w:p w14:paraId="6E486EE6" w14:textId="54A8BFF0" w:rsidR="00723E5B" w:rsidRPr="00594C71" w:rsidRDefault="00C63999" w:rsidP="00594C71">
      <w:pPr>
        <w:pStyle w:val="Heading2"/>
        <w:rPr>
          <w:rFonts w:ascii="Century Gothic" w:hAnsi="Century Gothic" w:cs="Arial"/>
          <w:b/>
          <w:bCs/>
          <w:color w:val="auto"/>
          <w:sz w:val="22"/>
          <w:szCs w:val="18"/>
        </w:rPr>
      </w:pPr>
      <w:r w:rsidRPr="00594C71">
        <w:rPr>
          <w:rFonts w:ascii="Century Gothic" w:hAnsi="Century Gothic" w:cs="Arial"/>
          <w:b/>
          <w:bCs/>
          <w:color w:val="auto"/>
          <w:sz w:val="22"/>
          <w:szCs w:val="18"/>
        </w:rPr>
        <w:t>Federal</w:t>
      </w:r>
      <w:r w:rsidR="002F4641" w:rsidRPr="00594C71">
        <w:rPr>
          <w:rFonts w:ascii="Century Gothic" w:hAnsi="Century Gothic" w:cs="Arial"/>
          <w:b/>
          <w:bCs/>
          <w:color w:val="auto"/>
          <w:sz w:val="22"/>
          <w:szCs w:val="18"/>
        </w:rPr>
        <w:t xml:space="preserve"> Exemption Criteria: </w:t>
      </w:r>
    </w:p>
    <w:p w14:paraId="110D0E58" w14:textId="77777777" w:rsidR="0008590D" w:rsidRPr="009B7FEE" w:rsidRDefault="0008590D" w:rsidP="00745B95">
      <w:pPr>
        <w:rPr>
          <w:rFonts w:ascii="Century Gothic" w:hAnsi="Century Gothic" w:cs="Arial"/>
          <w:bCs/>
        </w:rPr>
      </w:pPr>
    </w:p>
    <w:p w14:paraId="6BD360DE" w14:textId="451D03A1" w:rsidR="00566CBE" w:rsidRPr="009B7FEE" w:rsidRDefault="00BD372F" w:rsidP="00745B95">
      <w:pPr>
        <w:rPr>
          <w:rFonts w:ascii="Century Gothic" w:hAnsi="Century Gothic" w:cs="Arial"/>
          <w:b/>
          <w:i/>
        </w:rPr>
      </w:pPr>
      <w:r w:rsidRPr="009B7FEE">
        <w:rPr>
          <w:rFonts w:ascii="Century Gothic" w:hAnsi="Century Gothic" w:cs="Arial"/>
          <w:i/>
        </w:rPr>
        <w:t>Section 146.4 of Title 40 of the Code of Federal Regulations</w:t>
      </w:r>
      <w:r w:rsidR="00D56FDA" w:rsidRPr="009B7FEE">
        <w:rPr>
          <w:rFonts w:ascii="Century Gothic" w:hAnsi="Century Gothic" w:cs="Arial"/>
          <w:i/>
        </w:rPr>
        <w:t>.</w:t>
      </w:r>
      <w:r w:rsidR="00BD7A38" w:rsidRPr="009B7FEE">
        <w:rPr>
          <w:rFonts w:ascii="Century Gothic" w:hAnsi="Century Gothic" w:cs="Arial"/>
          <w:i/>
        </w:rPr>
        <w:t xml:space="preserve"> (40 CFR § 146.4)</w:t>
      </w:r>
    </w:p>
    <w:p w14:paraId="586C3C18" w14:textId="77777777" w:rsidR="007C03FD" w:rsidRPr="009B7FEE" w:rsidRDefault="007C03FD" w:rsidP="00745B95">
      <w:pPr>
        <w:rPr>
          <w:rFonts w:ascii="Century Gothic" w:hAnsi="Century Gothic" w:cs="Arial"/>
          <w:b/>
          <w:i/>
          <w:u w:val="single"/>
        </w:rPr>
      </w:pPr>
    </w:p>
    <w:p w14:paraId="3ACAE1FD" w14:textId="48E946DF" w:rsidR="007C03FD" w:rsidRPr="009B7FEE" w:rsidRDefault="007C03FD" w:rsidP="001A16E0">
      <w:pPr>
        <w:rPr>
          <w:rFonts w:ascii="Century Gothic" w:eastAsia="Calibri" w:hAnsi="Century Gothic" w:cs="Arial"/>
          <w:bCs/>
        </w:rPr>
      </w:pPr>
      <w:r w:rsidRPr="009B7FEE">
        <w:rPr>
          <w:rFonts w:ascii="Century Gothic" w:eastAsia="Calibri" w:hAnsi="Century Gothic" w:cs="Arial"/>
          <w:bCs/>
        </w:rPr>
        <w:t xml:space="preserve">An aquifer or a portion thereof which meets the criteria for an “underground source of drinking water” in 40 CFR </w:t>
      </w:r>
      <w:r w:rsidR="00057445" w:rsidRPr="009B7FEE">
        <w:rPr>
          <w:rFonts w:ascii="Century Gothic" w:eastAsia="Calibri" w:hAnsi="Century Gothic" w:cs="Arial"/>
          <w:bCs/>
        </w:rPr>
        <w:t>section</w:t>
      </w:r>
      <w:r w:rsidRPr="009B7FEE">
        <w:rPr>
          <w:rFonts w:ascii="Century Gothic" w:eastAsia="Calibri" w:hAnsi="Century Gothic" w:cs="Arial"/>
          <w:bCs/>
        </w:rPr>
        <w:t xml:space="preserve"> 146.3 may be determined under 40 CFR </w:t>
      </w:r>
      <w:r w:rsidR="00057445" w:rsidRPr="009B7FEE">
        <w:rPr>
          <w:rFonts w:ascii="Century Gothic" w:eastAsia="Calibri" w:hAnsi="Century Gothic" w:cs="Arial"/>
          <w:bCs/>
        </w:rPr>
        <w:t>section</w:t>
      </w:r>
      <w:r w:rsidRPr="009B7FEE">
        <w:rPr>
          <w:rFonts w:ascii="Century Gothic" w:eastAsia="Calibri" w:hAnsi="Century Gothic" w:cs="Arial"/>
          <w:bCs/>
        </w:rPr>
        <w:t xml:space="preserve"> 144.7 to be an “exempted aquifer” if it meets the following criteria:</w:t>
      </w:r>
    </w:p>
    <w:p w14:paraId="144C6780" w14:textId="77777777" w:rsidR="007C03FD" w:rsidRPr="009B7FEE" w:rsidRDefault="007C03FD" w:rsidP="001A16E0">
      <w:pPr>
        <w:rPr>
          <w:rFonts w:ascii="Century Gothic" w:eastAsia="Calibri" w:hAnsi="Century Gothic" w:cs="Arial"/>
          <w:bCs/>
        </w:rPr>
      </w:pPr>
    </w:p>
    <w:p w14:paraId="522B6301" w14:textId="77777777" w:rsidR="007C03FD" w:rsidRPr="009B7FEE" w:rsidRDefault="007C03FD" w:rsidP="007C03FD">
      <w:pPr>
        <w:widowControl/>
        <w:numPr>
          <w:ilvl w:val="0"/>
          <w:numId w:val="24"/>
        </w:numPr>
        <w:spacing w:after="160" w:line="259" w:lineRule="auto"/>
        <w:contextualSpacing/>
        <w:rPr>
          <w:rFonts w:ascii="Century Gothic" w:eastAsia="Calibri" w:hAnsi="Century Gothic" w:cs="Arial"/>
        </w:rPr>
      </w:pPr>
      <w:r w:rsidRPr="009B7FEE">
        <w:rPr>
          <w:rFonts w:ascii="Century Gothic" w:eastAsia="Calibri" w:hAnsi="Century Gothic" w:cs="Arial"/>
        </w:rPr>
        <w:t>It does not currently serve as a source of drinking water; and</w:t>
      </w:r>
    </w:p>
    <w:p w14:paraId="6581FE78" w14:textId="77777777" w:rsidR="007C03FD" w:rsidRPr="009B7FEE" w:rsidRDefault="007C03FD" w:rsidP="007C03FD">
      <w:pPr>
        <w:widowControl/>
        <w:numPr>
          <w:ilvl w:val="0"/>
          <w:numId w:val="24"/>
        </w:numPr>
        <w:spacing w:after="160" w:line="259" w:lineRule="auto"/>
        <w:contextualSpacing/>
        <w:rPr>
          <w:rFonts w:ascii="Century Gothic" w:eastAsia="Calibri" w:hAnsi="Century Gothic" w:cs="Arial"/>
        </w:rPr>
      </w:pPr>
      <w:r w:rsidRPr="009B7FEE">
        <w:rPr>
          <w:rFonts w:ascii="Century Gothic" w:eastAsia="Calibri" w:hAnsi="Century Gothic" w:cs="Arial"/>
        </w:rPr>
        <w:t xml:space="preserve">It cannot now and will not </w:t>
      </w:r>
      <w:proofErr w:type="gramStart"/>
      <w:r w:rsidRPr="009B7FEE">
        <w:rPr>
          <w:rFonts w:ascii="Century Gothic" w:eastAsia="Calibri" w:hAnsi="Century Gothic" w:cs="Arial"/>
        </w:rPr>
        <w:t>in the future serve as a source of drinking water</w:t>
      </w:r>
      <w:proofErr w:type="gramEnd"/>
      <w:r w:rsidRPr="009B7FEE">
        <w:rPr>
          <w:rFonts w:ascii="Century Gothic" w:eastAsia="Calibri" w:hAnsi="Century Gothic" w:cs="Arial"/>
        </w:rPr>
        <w:t xml:space="preserve"> because:</w:t>
      </w:r>
    </w:p>
    <w:p w14:paraId="470C2B05" w14:textId="5C2F80DB" w:rsidR="007C03FD" w:rsidRPr="009B7FEE" w:rsidRDefault="007C03FD" w:rsidP="007C03FD">
      <w:pPr>
        <w:widowControl/>
        <w:numPr>
          <w:ilvl w:val="1"/>
          <w:numId w:val="25"/>
        </w:numPr>
        <w:spacing w:after="160" w:line="259" w:lineRule="auto"/>
        <w:contextualSpacing/>
        <w:rPr>
          <w:rFonts w:ascii="Century Gothic" w:eastAsia="Calibri" w:hAnsi="Century Gothic" w:cs="Arial"/>
        </w:rPr>
      </w:pPr>
      <w:r w:rsidRPr="009B7FEE">
        <w:rPr>
          <w:rFonts w:ascii="Century Gothic" w:eastAsia="Calibri" w:hAnsi="Century Gothic" w:cs="Arial"/>
        </w:rPr>
        <w:t>It is mineral, hydrocarbon or geothermal energy producing, or can be demonstrated by a permit applicant as part of a permit application for a Class II or III operation to contain minerals or hydrocarbons that considering their quantity and location are expected to be commercially producible</w:t>
      </w:r>
      <w:r w:rsidR="00856D40" w:rsidRPr="009B7FEE">
        <w:rPr>
          <w:rFonts w:ascii="Century Gothic" w:eastAsia="Calibri" w:hAnsi="Century Gothic" w:cs="Arial"/>
        </w:rPr>
        <w:t>.</w:t>
      </w:r>
      <w:r w:rsidRPr="009B7FEE">
        <w:rPr>
          <w:rFonts w:ascii="Century Gothic" w:eastAsia="Calibri" w:hAnsi="Century Gothic" w:cs="Arial"/>
        </w:rPr>
        <w:t xml:space="preserve"> </w:t>
      </w:r>
    </w:p>
    <w:p w14:paraId="38DB2819" w14:textId="32F2657D" w:rsidR="007C03FD" w:rsidRPr="009B7FEE" w:rsidRDefault="007C03FD" w:rsidP="007C03FD">
      <w:pPr>
        <w:widowControl/>
        <w:numPr>
          <w:ilvl w:val="1"/>
          <w:numId w:val="25"/>
        </w:numPr>
        <w:spacing w:after="160" w:line="259" w:lineRule="auto"/>
        <w:contextualSpacing/>
        <w:rPr>
          <w:rFonts w:ascii="Century Gothic" w:eastAsia="Calibri" w:hAnsi="Century Gothic" w:cs="Arial"/>
        </w:rPr>
      </w:pPr>
      <w:r w:rsidRPr="009B7FEE">
        <w:rPr>
          <w:rFonts w:ascii="Century Gothic" w:eastAsia="Calibri" w:hAnsi="Century Gothic" w:cs="Arial"/>
        </w:rPr>
        <w:t xml:space="preserve">It is situated at a depth or location which makes recovery of water for drinking water purposes economically or technologically </w:t>
      </w:r>
      <w:proofErr w:type="gramStart"/>
      <w:r w:rsidRPr="009B7FEE">
        <w:rPr>
          <w:rFonts w:ascii="Century Gothic" w:eastAsia="Calibri" w:hAnsi="Century Gothic" w:cs="Arial"/>
        </w:rPr>
        <w:t>impractical;</w:t>
      </w:r>
      <w:proofErr w:type="gramEnd"/>
      <w:r w:rsidRPr="009B7FEE">
        <w:rPr>
          <w:rFonts w:ascii="Century Gothic" w:eastAsia="Calibri" w:hAnsi="Century Gothic" w:cs="Arial"/>
        </w:rPr>
        <w:t xml:space="preserve"> </w:t>
      </w:r>
    </w:p>
    <w:p w14:paraId="4A9E1349" w14:textId="77777777" w:rsidR="007C03FD" w:rsidRPr="009B7FEE" w:rsidRDefault="007C03FD" w:rsidP="007C03FD">
      <w:pPr>
        <w:widowControl/>
        <w:numPr>
          <w:ilvl w:val="1"/>
          <w:numId w:val="25"/>
        </w:numPr>
        <w:spacing w:after="160" w:line="259" w:lineRule="auto"/>
        <w:contextualSpacing/>
        <w:rPr>
          <w:rFonts w:ascii="Century Gothic" w:eastAsia="Calibri" w:hAnsi="Century Gothic" w:cs="Arial"/>
        </w:rPr>
      </w:pPr>
      <w:r w:rsidRPr="009B7FEE">
        <w:rPr>
          <w:rFonts w:ascii="Century Gothic" w:eastAsia="Calibri" w:hAnsi="Century Gothic" w:cs="Arial"/>
        </w:rPr>
        <w:t>It is so contaminated that it would be economically or technologically impractical to render that water fit for human consumption; or</w:t>
      </w:r>
    </w:p>
    <w:p w14:paraId="2D56A6F2" w14:textId="77777777" w:rsidR="007C03FD" w:rsidRPr="009B7FEE" w:rsidRDefault="007C03FD" w:rsidP="007C03FD">
      <w:pPr>
        <w:widowControl/>
        <w:numPr>
          <w:ilvl w:val="1"/>
          <w:numId w:val="25"/>
        </w:numPr>
        <w:spacing w:after="160" w:line="259" w:lineRule="auto"/>
        <w:contextualSpacing/>
        <w:rPr>
          <w:rFonts w:ascii="Century Gothic" w:eastAsia="Calibri" w:hAnsi="Century Gothic" w:cs="Arial"/>
        </w:rPr>
      </w:pPr>
      <w:r w:rsidRPr="009B7FEE">
        <w:rPr>
          <w:rFonts w:ascii="Century Gothic" w:eastAsia="Calibri" w:hAnsi="Century Gothic" w:cs="Arial"/>
        </w:rPr>
        <w:t>It is located over a Class III well mining area subject to subsidence or catastrophic collapse; or</w:t>
      </w:r>
    </w:p>
    <w:p w14:paraId="704F5A11" w14:textId="2AE592F9" w:rsidR="007C03FD" w:rsidRPr="009B7FEE" w:rsidRDefault="007C03FD" w:rsidP="007C03FD">
      <w:pPr>
        <w:widowControl/>
        <w:numPr>
          <w:ilvl w:val="0"/>
          <w:numId w:val="24"/>
        </w:numPr>
        <w:spacing w:after="160" w:line="259" w:lineRule="auto"/>
        <w:contextualSpacing/>
        <w:rPr>
          <w:rFonts w:ascii="Century Gothic" w:eastAsia="Calibri" w:hAnsi="Century Gothic" w:cs="Arial"/>
        </w:rPr>
      </w:pPr>
      <w:r w:rsidRPr="009B7FEE">
        <w:rPr>
          <w:rFonts w:ascii="Century Gothic" w:eastAsia="Calibri" w:hAnsi="Century Gothic" w:cs="Arial"/>
        </w:rPr>
        <w:t>The total dissolved solids content of the ground water is more tha</w:t>
      </w:r>
      <w:r w:rsidR="00213B67" w:rsidRPr="009B7FEE">
        <w:rPr>
          <w:rFonts w:ascii="Century Gothic" w:eastAsia="Calibri" w:hAnsi="Century Gothic" w:cs="Arial"/>
        </w:rPr>
        <w:t xml:space="preserve">n 3,000 and less than </w:t>
      </w:r>
      <w:r w:rsidRPr="009B7FEE">
        <w:rPr>
          <w:rFonts w:ascii="Century Gothic" w:eastAsia="Calibri" w:hAnsi="Century Gothic" w:cs="Arial"/>
        </w:rPr>
        <w:t>10,000 mg/l and it is not reasonably expected to supply a public water system.</w:t>
      </w:r>
    </w:p>
    <w:p w14:paraId="1E61E5B9" w14:textId="77777777" w:rsidR="00A61CAC" w:rsidRPr="009B7FEE" w:rsidRDefault="00A61CAC" w:rsidP="00745B95">
      <w:pPr>
        <w:pStyle w:val="BodyText"/>
        <w:tabs>
          <w:tab w:val="left" w:pos="2082"/>
        </w:tabs>
        <w:ind w:left="0"/>
        <w:rPr>
          <w:rFonts w:ascii="Century Gothic" w:hAnsi="Century Gothic" w:cs="Arial"/>
          <w:sz w:val="22"/>
          <w:szCs w:val="22"/>
        </w:rPr>
      </w:pPr>
    </w:p>
    <w:p w14:paraId="65F7F952" w14:textId="2427F1FE" w:rsidR="007C03FD" w:rsidRDefault="00C63999" w:rsidP="00594C71">
      <w:pPr>
        <w:pStyle w:val="Heading2"/>
        <w:rPr>
          <w:rFonts w:ascii="Century Gothic" w:hAnsi="Century Gothic" w:cs="Arial"/>
          <w:b/>
          <w:bCs/>
          <w:color w:val="auto"/>
          <w:sz w:val="22"/>
          <w:szCs w:val="18"/>
        </w:rPr>
      </w:pPr>
      <w:r w:rsidRPr="00594C71">
        <w:rPr>
          <w:rFonts w:ascii="Century Gothic" w:hAnsi="Century Gothic" w:cs="Arial"/>
          <w:b/>
          <w:bCs/>
          <w:color w:val="auto"/>
          <w:sz w:val="22"/>
          <w:szCs w:val="18"/>
        </w:rPr>
        <w:t>California State Criteria for Aquifer Exemption Proposals</w:t>
      </w:r>
      <w:r w:rsidR="002F4641" w:rsidRPr="00594C71">
        <w:rPr>
          <w:rFonts w:ascii="Century Gothic" w:hAnsi="Century Gothic" w:cs="Arial"/>
          <w:b/>
          <w:bCs/>
          <w:color w:val="auto"/>
          <w:sz w:val="22"/>
          <w:szCs w:val="18"/>
        </w:rPr>
        <w:t xml:space="preserve">: </w:t>
      </w:r>
    </w:p>
    <w:p w14:paraId="35C15CD1" w14:textId="77777777" w:rsidR="00594C71" w:rsidRPr="00594C71" w:rsidRDefault="00594C71" w:rsidP="00594C71"/>
    <w:p w14:paraId="1B7D2D4B" w14:textId="079B24DC" w:rsidR="00CA67CE" w:rsidRPr="009B7FEE" w:rsidRDefault="005B35EB" w:rsidP="00745B95">
      <w:pPr>
        <w:rPr>
          <w:rFonts w:ascii="Century Gothic" w:hAnsi="Century Gothic" w:cs="Arial"/>
          <w:i/>
        </w:rPr>
      </w:pPr>
      <w:r w:rsidRPr="009B7FEE">
        <w:rPr>
          <w:rFonts w:ascii="Century Gothic" w:hAnsi="Century Gothic" w:cs="Arial"/>
          <w:i/>
        </w:rPr>
        <w:t>California Public Resources Code</w:t>
      </w:r>
      <w:r w:rsidR="00BA13DB" w:rsidRPr="009B7FEE">
        <w:rPr>
          <w:rFonts w:ascii="Century Gothic" w:hAnsi="Century Gothic" w:cs="Arial"/>
          <w:i/>
        </w:rPr>
        <w:t xml:space="preserve"> section </w:t>
      </w:r>
      <w:r w:rsidRPr="009B7FEE">
        <w:rPr>
          <w:rFonts w:ascii="Century Gothic" w:hAnsi="Century Gothic" w:cs="Arial"/>
          <w:i/>
        </w:rPr>
        <w:t>3131</w:t>
      </w:r>
      <w:r w:rsidR="00BA13DB" w:rsidRPr="009B7FEE">
        <w:rPr>
          <w:rFonts w:ascii="Century Gothic" w:hAnsi="Century Gothic" w:cs="Arial"/>
          <w:i/>
        </w:rPr>
        <w:t>, subdivision</w:t>
      </w:r>
      <w:r w:rsidR="00566CBE" w:rsidRPr="009B7FEE">
        <w:rPr>
          <w:rFonts w:ascii="Century Gothic" w:hAnsi="Century Gothic" w:cs="Arial"/>
          <w:i/>
        </w:rPr>
        <w:t xml:space="preserve"> (a)</w:t>
      </w:r>
      <w:r w:rsidR="00D56FDA" w:rsidRPr="009B7FEE">
        <w:rPr>
          <w:rFonts w:ascii="Century Gothic" w:hAnsi="Century Gothic" w:cs="Arial"/>
          <w:i/>
        </w:rPr>
        <w:t>.</w:t>
      </w:r>
      <w:r w:rsidR="00566CBE" w:rsidRPr="009B7FEE">
        <w:rPr>
          <w:rFonts w:ascii="Century Gothic" w:hAnsi="Century Gothic" w:cs="Arial"/>
          <w:i/>
        </w:rPr>
        <w:t xml:space="preserve"> </w:t>
      </w:r>
      <w:r w:rsidR="00BD7A38" w:rsidRPr="009B7FEE">
        <w:rPr>
          <w:rFonts w:ascii="Century Gothic" w:hAnsi="Century Gothic" w:cs="Arial"/>
          <w:i/>
        </w:rPr>
        <w:t>(PRC § 3131(a))</w:t>
      </w:r>
    </w:p>
    <w:p w14:paraId="5158971D" w14:textId="77777777" w:rsidR="007C03FD" w:rsidRPr="009B7FEE" w:rsidRDefault="007C03FD" w:rsidP="00745B95">
      <w:pPr>
        <w:rPr>
          <w:rFonts w:ascii="Century Gothic" w:hAnsi="Century Gothic" w:cs="Arial"/>
        </w:rPr>
      </w:pPr>
    </w:p>
    <w:p w14:paraId="3AD7023F" w14:textId="50B2B91E" w:rsidR="00CA67CE" w:rsidRPr="009B7FEE" w:rsidRDefault="00CA67CE" w:rsidP="0015042F">
      <w:pPr>
        <w:rPr>
          <w:rFonts w:ascii="Century Gothic" w:hAnsi="Century Gothic" w:cs="Arial"/>
        </w:rPr>
      </w:pPr>
      <w:r w:rsidRPr="009B7FEE">
        <w:rPr>
          <w:rFonts w:ascii="Century Gothic" w:hAnsi="Century Gothic" w:cs="Arial"/>
        </w:rPr>
        <w:t xml:space="preserve">To ensure the appropriateness of a proposal by the state for an exempted aquifer </w:t>
      </w:r>
      <w:r w:rsidRPr="009B7FEE">
        <w:rPr>
          <w:rFonts w:ascii="Century Gothic" w:hAnsi="Century Gothic" w:cs="Arial"/>
        </w:rPr>
        <w:lastRenderedPageBreak/>
        <w:t xml:space="preserve">determination subject to any conditions on the subsequent injection of fluids, and prior to proposing to the US EPA that it exempt an aquifer or portion of an aquifer pursuant to </w:t>
      </w:r>
      <w:r w:rsidR="00057445" w:rsidRPr="009B7FEE">
        <w:rPr>
          <w:rFonts w:ascii="Century Gothic" w:hAnsi="Century Gothic" w:cs="Arial"/>
        </w:rPr>
        <w:t>40 CFR section</w:t>
      </w:r>
      <w:r w:rsidR="00BD7A38" w:rsidRPr="009B7FEE">
        <w:rPr>
          <w:rFonts w:ascii="Century Gothic" w:hAnsi="Century Gothic" w:cs="Arial"/>
        </w:rPr>
        <w:t xml:space="preserve"> 144.7</w:t>
      </w:r>
      <w:r w:rsidRPr="009B7FEE">
        <w:rPr>
          <w:rFonts w:ascii="Century Gothic" w:hAnsi="Century Gothic" w:cs="Arial"/>
        </w:rPr>
        <w:t xml:space="preserve">, </w:t>
      </w:r>
      <w:r w:rsidR="00BA5BBF">
        <w:rPr>
          <w:rFonts w:ascii="Century Gothic" w:hAnsi="Century Gothic" w:cs="Arial"/>
        </w:rPr>
        <w:t>CalGEM</w:t>
      </w:r>
      <w:r w:rsidRPr="009B7FEE">
        <w:rPr>
          <w:rFonts w:ascii="Century Gothic" w:hAnsi="Century Gothic" w:cs="Arial"/>
        </w:rPr>
        <w:t xml:space="preserve"> shall consult with the appropriate regional water quality control board and the </w:t>
      </w:r>
      <w:r w:rsidR="00654270" w:rsidRPr="009B7FEE">
        <w:rPr>
          <w:rFonts w:ascii="Century Gothic" w:hAnsi="Century Gothic" w:cs="Arial"/>
        </w:rPr>
        <w:t>State Water Board</w:t>
      </w:r>
      <w:r w:rsidRPr="009B7FEE">
        <w:rPr>
          <w:rFonts w:ascii="Century Gothic" w:hAnsi="Century Gothic" w:cs="Arial"/>
        </w:rPr>
        <w:t xml:space="preserve"> concerning the conformity of the proposal with all of the following:</w:t>
      </w:r>
    </w:p>
    <w:p w14:paraId="73D869AE" w14:textId="77777777" w:rsidR="00654270" w:rsidRPr="009B7FEE" w:rsidRDefault="00654270" w:rsidP="0015042F">
      <w:pPr>
        <w:rPr>
          <w:rFonts w:ascii="Century Gothic" w:hAnsi="Century Gothic" w:cs="Arial"/>
          <w:i/>
        </w:rPr>
      </w:pPr>
    </w:p>
    <w:p w14:paraId="3919E09C" w14:textId="5F0823E1" w:rsidR="00566CBE" w:rsidRPr="009B7FEE" w:rsidRDefault="00494CCE" w:rsidP="0015042F">
      <w:pPr>
        <w:pStyle w:val="ListParagraph"/>
        <w:numPr>
          <w:ilvl w:val="0"/>
          <w:numId w:val="32"/>
        </w:numPr>
        <w:rPr>
          <w:rFonts w:ascii="Century Gothic" w:eastAsia="Calibri" w:hAnsi="Century Gothic" w:cs="Arial"/>
          <w:b/>
          <w:u w:val="single"/>
        </w:rPr>
      </w:pPr>
      <w:r>
        <w:rPr>
          <w:rFonts w:ascii="Century Gothic" w:hAnsi="Century Gothic" w:cs="Arial"/>
        </w:rPr>
        <w:t>The c</w:t>
      </w:r>
      <w:r w:rsidR="005B35EB" w:rsidRPr="009B7FEE">
        <w:rPr>
          <w:rFonts w:ascii="Century Gothic" w:hAnsi="Century Gothic" w:cs="Arial"/>
        </w:rPr>
        <w:t xml:space="preserve">riteria </w:t>
      </w:r>
      <w:proofErr w:type="gramStart"/>
      <w:r w:rsidR="005B35EB" w:rsidRPr="009B7FEE">
        <w:rPr>
          <w:rFonts w:ascii="Century Gothic" w:hAnsi="Century Gothic" w:cs="Arial"/>
        </w:rPr>
        <w:t>set</w:t>
      </w:r>
      <w:proofErr w:type="gramEnd"/>
      <w:r w:rsidR="005B35EB" w:rsidRPr="009B7FEE">
        <w:rPr>
          <w:rFonts w:ascii="Century Gothic" w:hAnsi="Century Gothic" w:cs="Arial"/>
        </w:rPr>
        <w:t xml:space="preserve"> forth in </w:t>
      </w:r>
      <w:r w:rsidR="00185F75">
        <w:rPr>
          <w:rFonts w:ascii="Century Gothic" w:hAnsi="Century Gothic" w:cs="Arial"/>
        </w:rPr>
        <w:t>40 CFR s</w:t>
      </w:r>
      <w:r w:rsidR="005B35EB" w:rsidRPr="009B7FEE">
        <w:rPr>
          <w:rFonts w:ascii="Century Gothic" w:hAnsi="Century Gothic" w:cs="Arial"/>
        </w:rPr>
        <w:t>ection 146.4.</w:t>
      </w:r>
    </w:p>
    <w:p w14:paraId="30CA8349" w14:textId="77777777" w:rsidR="00566CBE" w:rsidRPr="009B7FEE" w:rsidRDefault="005B35EB" w:rsidP="0015042F">
      <w:pPr>
        <w:pStyle w:val="ListParagraph"/>
        <w:numPr>
          <w:ilvl w:val="0"/>
          <w:numId w:val="32"/>
        </w:numPr>
        <w:rPr>
          <w:rFonts w:ascii="Century Gothic" w:eastAsia="Calibri" w:hAnsi="Century Gothic" w:cs="Arial"/>
          <w:b/>
          <w:u w:val="single"/>
        </w:rPr>
      </w:pPr>
      <w:r w:rsidRPr="009B7FEE">
        <w:rPr>
          <w:rFonts w:ascii="Century Gothic" w:hAnsi="Century Gothic" w:cs="Arial"/>
        </w:rPr>
        <w:t>The injection of fluids will not affect the quality of water that is, or may reasonably be, used for any beneficial use.</w:t>
      </w:r>
    </w:p>
    <w:p w14:paraId="641B4D5A" w14:textId="77777777" w:rsidR="002F4641" w:rsidRPr="009B7FEE" w:rsidRDefault="005B35EB" w:rsidP="0015042F">
      <w:pPr>
        <w:pStyle w:val="ListParagraph"/>
        <w:numPr>
          <w:ilvl w:val="0"/>
          <w:numId w:val="32"/>
        </w:numPr>
        <w:rPr>
          <w:rFonts w:ascii="Century Gothic" w:eastAsia="Calibri" w:hAnsi="Century Gothic" w:cs="Arial"/>
          <w:b/>
          <w:u w:val="single"/>
        </w:rPr>
      </w:pPr>
      <w:r w:rsidRPr="009B7FEE">
        <w:rPr>
          <w:rFonts w:ascii="Century Gothic" w:hAnsi="Century Gothic" w:cs="Arial"/>
        </w:rPr>
        <w:t xml:space="preserve">The injected fluid will remain in the aquifer or portion of the aquifer that would be </w:t>
      </w:r>
      <w:r w:rsidR="002F4641" w:rsidRPr="009B7FEE">
        <w:rPr>
          <w:rFonts w:ascii="Century Gothic" w:hAnsi="Century Gothic" w:cs="Arial"/>
        </w:rPr>
        <w:t>exempted.</w:t>
      </w:r>
    </w:p>
    <w:p w14:paraId="6911B72D" w14:textId="77777777" w:rsidR="00744C84" w:rsidRPr="009B7FEE" w:rsidRDefault="00744C84">
      <w:pPr>
        <w:rPr>
          <w:rFonts w:ascii="Century Gothic" w:eastAsia="Calibri" w:hAnsi="Century Gothic" w:cs="Arial"/>
          <w:b/>
          <w:bCs/>
        </w:rPr>
      </w:pPr>
    </w:p>
    <w:p w14:paraId="0AB9D816" w14:textId="5C48916D" w:rsidR="0010046A" w:rsidRPr="009B7FEE" w:rsidRDefault="0010046A" w:rsidP="001A16E0">
      <w:pPr>
        <w:pStyle w:val="Heading1"/>
        <w:rPr>
          <w:rFonts w:ascii="Century Gothic" w:hAnsi="Century Gothic"/>
        </w:rPr>
      </w:pPr>
      <w:r w:rsidRPr="009B7FEE">
        <w:rPr>
          <w:rFonts w:ascii="Century Gothic" w:hAnsi="Century Gothic"/>
        </w:rPr>
        <w:t>BASIS FOR EXEMPTION</w:t>
      </w:r>
    </w:p>
    <w:p w14:paraId="7CD5064E" w14:textId="77777777" w:rsidR="007C03FD" w:rsidRPr="009B7FEE" w:rsidRDefault="007C03FD" w:rsidP="0010046A">
      <w:pPr>
        <w:tabs>
          <w:tab w:val="left" w:pos="6232"/>
        </w:tabs>
        <w:rPr>
          <w:rFonts w:ascii="Century Gothic" w:eastAsia="Calibri" w:hAnsi="Century Gothic" w:cs="Arial"/>
          <w:b/>
          <w:bCs/>
        </w:rPr>
      </w:pPr>
    </w:p>
    <w:p w14:paraId="4B951EBB" w14:textId="0A1B098A" w:rsidR="007C03FD" w:rsidRPr="009B7FEE" w:rsidRDefault="007C03FD" w:rsidP="007C03FD">
      <w:pPr>
        <w:rPr>
          <w:rFonts w:ascii="Century Gothic" w:eastAsia="Calibri" w:hAnsi="Century Gothic" w:cs="Arial"/>
        </w:rPr>
      </w:pPr>
      <w:r w:rsidRPr="009B7FEE">
        <w:rPr>
          <w:rFonts w:ascii="Century Gothic" w:eastAsia="Calibri" w:hAnsi="Century Gothic" w:cs="Arial"/>
        </w:rPr>
        <w:t>The Proposal Area meets the federal criteria for aquifer exemption, as described in 40 CFR sections 146.4(a) and 146.4(</w:t>
      </w:r>
      <w:r w:rsidR="002524A6">
        <w:rPr>
          <w:rFonts w:ascii="Century Gothic" w:eastAsia="Calibri" w:hAnsi="Century Gothic" w:cs="Arial"/>
        </w:rPr>
        <w:t>c</w:t>
      </w:r>
      <w:r w:rsidRPr="009B7FEE">
        <w:rPr>
          <w:rFonts w:ascii="Century Gothic" w:eastAsia="Calibri" w:hAnsi="Century Gothic" w:cs="Arial"/>
        </w:rPr>
        <w:t>).</w:t>
      </w:r>
    </w:p>
    <w:p w14:paraId="32C8C147" w14:textId="77777777" w:rsidR="007C03FD" w:rsidRPr="009B7FEE" w:rsidRDefault="007C03FD" w:rsidP="007C03FD">
      <w:pPr>
        <w:rPr>
          <w:rFonts w:ascii="Century Gothic" w:eastAsia="Calibri" w:hAnsi="Century Gothic" w:cs="Arial"/>
        </w:rPr>
      </w:pPr>
    </w:p>
    <w:p w14:paraId="5AAB965C" w14:textId="77777777" w:rsidR="007C03FD" w:rsidRPr="009B7FEE" w:rsidRDefault="007C03FD" w:rsidP="007C03FD">
      <w:pPr>
        <w:rPr>
          <w:rFonts w:ascii="Century Gothic" w:eastAsia="Calibri" w:hAnsi="Century Gothic" w:cs="Arial"/>
        </w:rPr>
      </w:pPr>
      <w:r w:rsidRPr="009B7FEE">
        <w:rPr>
          <w:rFonts w:ascii="Century Gothic" w:eastAsia="Calibri" w:hAnsi="Century Gothic" w:cs="Arial"/>
        </w:rPr>
        <w:t xml:space="preserve">The Proposal Area also meets the California criteria for proposal of an aquifer exemption to the US EPA, as described in PRC section 3131(a). </w:t>
      </w:r>
    </w:p>
    <w:p w14:paraId="7F0D9BD2" w14:textId="77777777" w:rsidR="00124D20" w:rsidRPr="009B7FEE" w:rsidRDefault="00124D20" w:rsidP="00745B95">
      <w:pPr>
        <w:pStyle w:val="BodyText"/>
        <w:ind w:left="0"/>
        <w:rPr>
          <w:rFonts w:ascii="Century Gothic" w:hAnsi="Century Gothic" w:cs="Arial"/>
          <w:b/>
          <w:sz w:val="22"/>
          <w:szCs w:val="22"/>
          <w:u w:val="single"/>
        </w:rPr>
      </w:pPr>
    </w:p>
    <w:p w14:paraId="481FB668" w14:textId="2ABB4FFE" w:rsidR="0053455C" w:rsidRPr="009B7FEE" w:rsidRDefault="0010046A" w:rsidP="00594C71">
      <w:pPr>
        <w:pStyle w:val="Heading2"/>
        <w:rPr>
          <w:rFonts w:ascii="Century Gothic" w:hAnsi="Century Gothic"/>
        </w:rPr>
      </w:pPr>
      <w:r w:rsidRPr="00594C71">
        <w:rPr>
          <w:rFonts w:ascii="Century Gothic" w:hAnsi="Century Gothic" w:cs="Arial"/>
          <w:b/>
          <w:bCs/>
          <w:color w:val="auto"/>
          <w:sz w:val="22"/>
          <w:szCs w:val="18"/>
        </w:rPr>
        <w:t xml:space="preserve">Proposal </w:t>
      </w:r>
      <w:r w:rsidR="007946DA" w:rsidRPr="00594C71">
        <w:rPr>
          <w:rFonts w:ascii="Century Gothic" w:hAnsi="Century Gothic" w:cs="Arial"/>
          <w:b/>
          <w:bCs/>
          <w:color w:val="auto"/>
          <w:sz w:val="22"/>
          <w:szCs w:val="18"/>
        </w:rPr>
        <w:t xml:space="preserve">Area </w:t>
      </w:r>
      <w:r w:rsidRPr="00594C71">
        <w:rPr>
          <w:rFonts w:ascii="Century Gothic" w:hAnsi="Century Gothic" w:cs="Arial"/>
          <w:b/>
          <w:bCs/>
          <w:color w:val="auto"/>
          <w:sz w:val="22"/>
          <w:szCs w:val="18"/>
        </w:rPr>
        <w:t>Meets Federal Exemption Criteria</w:t>
      </w:r>
      <w:r w:rsidRPr="009B7FEE">
        <w:rPr>
          <w:rFonts w:ascii="Century Gothic" w:hAnsi="Century Gothic"/>
        </w:rPr>
        <w:t xml:space="preserve"> </w:t>
      </w:r>
    </w:p>
    <w:p w14:paraId="671BDFF6" w14:textId="77777777" w:rsidR="007C03FD" w:rsidRPr="009B7FEE" w:rsidRDefault="007C03FD" w:rsidP="00745B95">
      <w:pPr>
        <w:pStyle w:val="BodyText"/>
        <w:ind w:left="0"/>
        <w:rPr>
          <w:rFonts w:ascii="Century Gothic" w:hAnsi="Century Gothic" w:cs="Arial"/>
          <w:b/>
          <w:sz w:val="22"/>
          <w:szCs w:val="22"/>
        </w:rPr>
      </w:pPr>
    </w:p>
    <w:p w14:paraId="035EC59B" w14:textId="427EC66F" w:rsidR="002F5133" w:rsidRPr="009B7FEE" w:rsidRDefault="00584581" w:rsidP="00550598">
      <w:pPr>
        <w:ind w:left="360"/>
        <w:rPr>
          <w:rFonts w:ascii="Century Gothic" w:hAnsi="Century Gothic" w:cs="Arial"/>
          <w:i/>
          <w:u w:val="single"/>
        </w:rPr>
      </w:pPr>
      <w:r w:rsidRPr="009B7FEE">
        <w:rPr>
          <w:rFonts w:ascii="Century Gothic" w:eastAsia="Calibri" w:hAnsi="Century Gothic" w:cs="Arial"/>
          <w:i/>
          <w:u w:val="single"/>
        </w:rPr>
        <w:t>It</w:t>
      </w:r>
      <w:r w:rsidR="00C65CAD" w:rsidRPr="009B7FEE">
        <w:rPr>
          <w:rFonts w:ascii="Century Gothic" w:eastAsia="Calibri" w:hAnsi="Century Gothic" w:cs="Arial"/>
          <w:i/>
          <w:u w:val="single"/>
        </w:rPr>
        <w:t xml:space="preserve"> does not currently serve as a source of drinking water.</w:t>
      </w:r>
      <w:r w:rsidR="00B10142" w:rsidRPr="009B7FEE">
        <w:rPr>
          <w:rFonts w:ascii="Century Gothic" w:eastAsia="Calibri" w:hAnsi="Century Gothic" w:cs="Arial"/>
          <w:i/>
          <w:u w:val="single"/>
        </w:rPr>
        <w:t xml:space="preserve"> (</w:t>
      </w:r>
      <w:r w:rsidR="00566CBE" w:rsidRPr="009B7FEE">
        <w:rPr>
          <w:rFonts w:ascii="Century Gothic" w:eastAsia="Calibri" w:hAnsi="Century Gothic" w:cs="Arial"/>
          <w:i/>
          <w:u w:val="single"/>
        </w:rPr>
        <w:t xml:space="preserve">40 CFR </w:t>
      </w:r>
      <w:r w:rsidR="00566CBE" w:rsidRPr="009B7FEE">
        <w:rPr>
          <w:rFonts w:ascii="Century Gothic" w:hAnsi="Century Gothic" w:cs="Arial"/>
          <w:i/>
          <w:u w:val="single"/>
        </w:rPr>
        <w:t>§</w:t>
      </w:r>
      <w:r w:rsidR="00B10142" w:rsidRPr="009B7FEE">
        <w:rPr>
          <w:rFonts w:ascii="Century Gothic" w:hAnsi="Century Gothic" w:cs="Arial"/>
          <w:i/>
          <w:u w:val="single"/>
        </w:rPr>
        <w:t xml:space="preserve"> </w:t>
      </w:r>
      <w:r w:rsidR="00566CBE" w:rsidRPr="009B7FEE">
        <w:rPr>
          <w:rFonts w:ascii="Century Gothic" w:hAnsi="Century Gothic" w:cs="Arial"/>
          <w:i/>
          <w:u w:val="single"/>
        </w:rPr>
        <w:t>146.4(a)</w:t>
      </w:r>
      <w:r w:rsidR="00B10142" w:rsidRPr="009B7FEE">
        <w:rPr>
          <w:rFonts w:ascii="Century Gothic" w:hAnsi="Century Gothic" w:cs="Arial"/>
          <w:i/>
          <w:u w:val="single"/>
        </w:rPr>
        <w:t>)</w:t>
      </w:r>
    </w:p>
    <w:p w14:paraId="7C77DDF8" w14:textId="77777777" w:rsidR="00213B67" w:rsidRPr="009B7FEE" w:rsidRDefault="00213B67" w:rsidP="00745B95">
      <w:pPr>
        <w:rPr>
          <w:rFonts w:ascii="Century Gothic" w:hAnsi="Century Gothic" w:cs="Arial"/>
        </w:rPr>
      </w:pPr>
    </w:p>
    <w:p w14:paraId="7AE9AF38" w14:textId="39ECE19B" w:rsidR="007C7E12" w:rsidRDefault="00B55EC1" w:rsidP="330CB019">
      <w:pPr>
        <w:rPr>
          <w:rFonts w:ascii="Century Gothic" w:hAnsi="Century Gothic" w:cs="Arial"/>
        </w:rPr>
      </w:pPr>
      <w:r w:rsidRPr="330CB019">
        <w:rPr>
          <w:rFonts w:ascii="Century Gothic" w:hAnsi="Century Gothic" w:cs="Arial"/>
        </w:rPr>
        <w:t xml:space="preserve">Pursuant to 40 CFR 146.4(a), the </w:t>
      </w:r>
      <w:r w:rsidR="0032450E" w:rsidRPr="330CB019">
        <w:rPr>
          <w:rFonts w:ascii="Century Gothic" w:hAnsi="Century Gothic" w:cs="Arial"/>
        </w:rPr>
        <w:t xml:space="preserve">groundwater in the </w:t>
      </w:r>
      <w:r w:rsidR="00D1745C">
        <w:rPr>
          <w:rFonts w:ascii="Century Gothic" w:hAnsi="Century Gothic" w:cs="Arial"/>
        </w:rPr>
        <w:t>Proposal</w:t>
      </w:r>
      <w:r w:rsidRPr="330CB019">
        <w:rPr>
          <w:rFonts w:ascii="Century Gothic" w:hAnsi="Century Gothic" w:cs="Arial"/>
        </w:rPr>
        <w:t xml:space="preserve"> </w:t>
      </w:r>
      <w:r w:rsidR="00D1745C">
        <w:rPr>
          <w:rFonts w:ascii="Century Gothic" w:hAnsi="Century Gothic" w:cs="Arial"/>
        </w:rPr>
        <w:t>A</w:t>
      </w:r>
      <w:r w:rsidRPr="330CB019">
        <w:rPr>
          <w:rFonts w:ascii="Century Gothic" w:hAnsi="Century Gothic" w:cs="Arial"/>
        </w:rPr>
        <w:t>rea does not currently serve as a source of drinking water.</w:t>
      </w:r>
      <w:r w:rsidR="00F8254E">
        <w:rPr>
          <w:rFonts w:ascii="Century Gothic" w:hAnsi="Century Gothic" w:cs="Arial"/>
        </w:rPr>
        <w:t xml:space="preserve"> </w:t>
      </w:r>
      <w:r w:rsidR="007C7E12" w:rsidRPr="330CB019">
        <w:rPr>
          <w:rFonts w:ascii="Century Gothic" w:hAnsi="Century Gothic" w:cs="Arial"/>
        </w:rPr>
        <w:t xml:space="preserve">A search for water supply wells was conducted within and around the </w:t>
      </w:r>
      <w:r w:rsidR="00D1745C">
        <w:rPr>
          <w:rFonts w:ascii="Century Gothic" w:hAnsi="Century Gothic" w:cs="Arial"/>
        </w:rPr>
        <w:t>P</w:t>
      </w:r>
      <w:r w:rsidR="007C7E12" w:rsidRPr="330CB019">
        <w:rPr>
          <w:rFonts w:ascii="Century Gothic" w:hAnsi="Century Gothic" w:cs="Arial"/>
        </w:rPr>
        <w:t xml:space="preserve">roposal </w:t>
      </w:r>
      <w:r w:rsidR="00D1745C">
        <w:rPr>
          <w:rFonts w:ascii="Century Gothic" w:hAnsi="Century Gothic" w:cs="Arial"/>
        </w:rPr>
        <w:t>A</w:t>
      </w:r>
      <w:r w:rsidR="007C7E12" w:rsidRPr="330CB019">
        <w:rPr>
          <w:rFonts w:ascii="Century Gothic" w:hAnsi="Century Gothic" w:cs="Arial"/>
        </w:rPr>
        <w:t>rea.</w:t>
      </w:r>
      <w:r w:rsidR="00F8254E">
        <w:rPr>
          <w:rFonts w:ascii="Century Gothic" w:hAnsi="Century Gothic" w:cs="Arial"/>
        </w:rPr>
        <w:t xml:space="preserve"> </w:t>
      </w:r>
      <w:r w:rsidR="007C7E12" w:rsidRPr="330CB019">
        <w:rPr>
          <w:rFonts w:ascii="Century Gothic" w:hAnsi="Century Gothic" w:cs="Arial"/>
        </w:rPr>
        <w:t>The water well search entailed obtaining data files from the D</w:t>
      </w:r>
      <w:r w:rsidR="00BE3145" w:rsidRPr="330CB019">
        <w:rPr>
          <w:rFonts w:ascii="Century Gothic" w:hAnsi="Century Gothic" w:cs="Arial"/>
        </w:rPr>
        <w:t>epartment</w:t>
      </w:r>
      <w:r w:rsidR="007C7E12" w:rsidRPr="330CB019">
        <w:rPr>
          <w:rFonts w:ascii="Century Gothic" w:hAnsi="Century Gothic" w:cs="Arial"/>
        </w:rPr>
        <w:t xml:space="preserve"> of Water Resource</w:t>
      </w:r>
      <w:r w:rsidR="007146E3" w:rsidRPr="330CB019">
        <w:rPr>
          <w:rFonts w:ascii="Century Gothic" w:hAnsi="Century Gothic" w:cs="Arial"/>
        </w:rPr>
        <w:t>s</w:t>
      </w:r>
      <w:r w:rsidR="007C7E12" w:rsidRPr="330CB019">
        <w:rPr>
          <w:rFonts w:ascii="Century Gothic" w:hAnsi="Century Gothic" w:cs="Arial"/>
        </w:rPr>
        <w:t xml:space="preserve"> water well completion reports, Kern County Environmental </w:t>
      </w:r>
      <w:proofErr w:type="gramStart"/>
      <w:r w:rsidR="007C7E12" w:rsidRPr="330CB019">
        <w:rPr>
          <w:rFonts w:ascii="Century Gothic" w:hAnsi="Century Gothic" w:cs="Arial"/>
        </w:rPr>
        <w:t>Health water</w:t>
      </w:r>
      <w:proofErr w:type="gramEnd"/>
      <w:r w:rsidR="007C7E12" w:rsidRPr="330CB019">
        <w:rPr>
          <w:rFonts w:ascii="Century Gothic" w:hAnsi="Century Gothic" w:cs="Arial"/>
        </w:rPr>
        <w:t xml:space="preserve"> well completion reports,</w:t>
      </w:r>
      <w:r w:rsidR="007E12E7">
        <w:rPr>
          <w:rFonts w:ascii="Century Gothic" w:hAnsi="Century Gothic" w:cs="Arial"/>
        </w:rPr>
        <w:t xml:space="preserve"> and</w:t>
      </w:r>
      <w:r w:rsidR="007C7E12" w:rsidRPr="330CB019">
        <w:rPr>
          <w:rFonts w:ascii="Century Gothic" w:hAnsi="Century Gothic" w:cs="Arial"/>
        </w:rPr>
        <w:t xml:space="preserve"> the Groundwater Ambient Monitoring and Assessment (GAMA) </w:t>
      </w:r>
      <w:r w:rsidR="007C7E12" w:rsidRPr="001F32B1">
        <w:rPr>
          <w:rFonts w:ascii="Century Gothic" w:hAnsi="Century Gothic" w:cs="Arial"/>
        </w:rPr>
        <w:t>Groundwater Information System.</w:t>
      </w:r>
      <w:r w:rsidR="00F8254E">
        <w:rPr>
          <w:rFonts w:ascii="Century Gothic" w:hAnsi="Century Gothic" w:cs="Arial"/>
        </w:rPr>
        <w:t xml:space="preserve"> </w:t>
      </w:r>
      <w:r w:rsidR="00E11922" w:rsidRPr="001F32B1">
        <w:rPr>
          <w:rFonts w:ascii="Century Gothic" w:hAnsi="Century Gothic" w:cs="Arial"/>
        </w:rPr>
        <w:t xml:space="preserve">A field reconnaissance including drone flyover was also conducted to </w:t>
      </w:r>
      <w:r w:rsidR="009C4E2B" w:rsidRPr="001F32B1">
        <w:rPr>
          <w:rFonts w:ascii="Century Gothic" w:hAnsi="Century Gothic" w:cs="Arial"/>
        </w:rPr>
        <w:t>investigate</w:t>
      </w:r>
      <w:r w:rsidR="00F84B04">
        <w:rPr>
          <w:rFonts w:ascii="Century Gothic" w:hAnsi="Century Gothic" w:cs="Arial"/>
        </w:rPr>
        <w:t xml:space="preserve"> </w:t>
      </w:r>
      <w:r w:rsidR="00E11922" w:rsidRPr="001F32B1">
        <w:rPr>
          <w:rFonts w:ascii="Century Gothic" w:hAnsi="Century Gothic" w:cs="Arial"/>
        </w:rPr>
        <w:t>evidence of water supply wells</w:t>
      </w:r>
      <w:r w:rsidR="009C4E2B">
        <w:rPr>
          <w:rFonts w:ascii="Century Gothic" w:hAnsi="Century Gothic" w:cs="Arial"/>
        </w:rPr>
        <w:t>. A</w:t>
      </w:r>
      <w:r w:rsidR="00F84B04">
        <w:rPr>
          <w:rFonts w:ascii="Century Gothic" w:hAnsi="Century Gothic" w:cs="Arial"/>
        </w:rPr>
        <w:t xml:space="preserve">ny </w:t>
      </w:r>
      <w:r w:rsidR="009C4E2B">
        <w:rPr>
          <w:rFonts w:ascii="Century Gothic" w:hAnsi="Century Gothic" w:cs="Arial"/>
        </w:rPr>
        <w:t xml:space="preserve">potential </w:t>
      </w:r>
      <w:r w:rsidR="00F84B04">
        <w:rPr>
          <w:rFonts w:ascii="Century Gothic" w:hAnsi="Century Gothic" w:cs="Arial"/>
        </w:rPr>
        <w:t>water supply wells</w:t>
      </w:r>
      <w:r w:rsidR="00EC6859">
        <w:rPr>
          <w:rFonts w:ascii="Century Gothic" w:hAnsi="Century Gothic" w:cs="Arial"/>
        </w:rPr>
        <w:t xml:space="preserve"> identified</w:t>
      </w:r>
      <w:r w:rsidR="00E11922" w:rsidRPr="001F32B1">
        <w:rPr>
          <w:rFonts w:ascii="Century Gothic" w:hAnsi="Century Gothic" w:cs="Arial"/>
        </w:rPr>
        <w:t xml:space="preserve"> within </w:t>
      </w:r>
      <w:r w:rsidR="00DC0BB9" w:rsidRPr="001F32B1">
        <w:rPr>
          <w:rFonts w:ascii="Century Gothic" w:hAnsi="Century Gothic" w:cs="Arial"/>
        </w:rPr>
        <w:t>one mile</w:t>
      </w:r>
      <w:r w:rsidR="00E11922" w:rsidRPr="001F32B1">
        <w:rPr>
          <w:rFonts w:ascii="Century Gothic" w:hAnsi="Century Gothic" w:cs="Arial"/>
        </w:rPr>
        <w:t xml:space="preserve"> of the </w:t>
      </w:r>
      <w:r w:rsidR="00D1745C">
        <w:rPr>
          <w:rFonts w:ascii="Century Gothic" w:hAnsi="Century Gothic" w:cs="Arial"/>
        </w:rPr>
        <w:t>Proposal Area</w:t>
      </w:r>
      <w:r w:rsidR="00E11922" w:rsidRPr="001F32B1">
        <w:rPr>
          <w:rFonts w:ascii="Century Gothic" w:hAnsi="Century Gothic" w:cs="Arial"/>
        </w:rPr>
        <w:t xml:space="preserve"> boundary</w:t>
      </w:r>
      <w:r w:rsidR="00EC6859">
        <w:rPr>
          <w:rFonts w:ascii="Century Gothic" w:hAnsi="Century Gothic" w:cs="Arial"/>
        </w:rPr>
        <w:t xml:space="preserve"> are included in the analysis</w:t>
      </w:r>
      <w:r w:rsidR="00E11922" w:rsidRPr="001F32B1">
        <w:rPr>
          <w:rFonts w:ascii="Century Gothic" w:hAnsi="Century Gothic" w:cs="Arial"/>
        </w:rPr>
        <w:t>.</w:t>
      </w:r>
      <w:r w:rsidR="00F8254E">
        <w:rPr>
          <w:rFonts w:ascii="Century Gothic" w:hAnsi="Century Gothic" w:cs="Arial"/>
        </w:rPr>
        <w:t xml:space="preserve"> </w:t>
      </w:r>
      <w:r w:rsidR="007C7E12" w:rsidRPr="001F32B1">
        <w:rPr>
          <w:rFonts w:ascii="Century Gothic" w:hAnsi="Century Gothic" w:cs="Arial"/>
        </w:rPr>
        <w:t>There are no known</w:t>
      </w:r>
      <w:r w:rsidR="0035314D">
        <w:rPr>
          <w:rFonts w:ascii="Century Gothic" w:hAnsi="Century Gothic" w:cs="Arial"/>
        </w:rPr>
        <w:t xml:space="preserve"> </w:t>
      </w:r>
      <w:r w:rsidR="007C7E12" w:rsidRPr="001F32B1">
        <w:rPr>
          <w:rFonts w:ascii="Century Gothic" w:hAnsi="Century Gothic" w:cs="Arial"/>
        </w:rPr>
        <w:t xml:space="preserve">drinking water supply wells completed within the </w:t>
      </w:r>
      <w:r w:rsidR="00BD0D4D" w:rsidRPr="001F32B1">
        <w:rPr>
          <w:rFonts w:ascii="Century Gothic" w:hAnsi="Century Gothic" w:cs="Arial"/>
        </w:rPr>
        <w:t xml:space="preserve">Tulare Oil Sand </w:t>
      </w:r>
      <w:r w:rsidR="009D28C3" w:rsidRPr="001F32B1">
        <w:rPr>
          <w:rFonts w:ascii="Century Gothic" w:hAnsi="Century Gothic" w:cs="Arial"/>
        </w:rPr>
        <w:t>in</w:t>
      </w:r>
      <w:r w:rsidR="0036319B" w:rsidRPr="001F32B1">
        <w:rPr>
          <w:rFonts w:ascii="Century Gothic" w:hAnsi="Century Gothic" w:cs="Arial"/>
        </w:rPr>
        <w:t xml:space="preserve"> </w:t>
      </w:r>
      <w:r w:rsidR="007C7E12" w:rsidRPr="001F32B1">
        <w:rPr>
          <w:rFonts w:ascii="Century Gothic" w:hAnsi="Century Gothic" w:cs="Arial"/>
        </w:rPr>
        <w:t xml:space="preserve">the </w:t>
      </w:r>
      <w:r w:rsidR="00D1745C">
        <w:rPr>
          <w:rFonts w:ascii="Century Gothic" w:hAnsi="Century Gothic" w:cs="Arial"/>
        </w:rPr>
        <w:t>Proposal Area</w:t>
      </w:r>
      <w:r w:rsidR="007C7E12" w:rsidRPr="001F32B1">
        <w:rPr>
          <w:rFonts w:ascii="Century Gothic" w:hAnsi="Century Gothic" w:cs="Arial"/>
        </w:rPr>
        <w:t>.</w:t>
      </w:r>
      <w:r w:rsidR="00F8254E">
        <w:rPr>
          <w:rFonts w:ascii="Century Gothic" w:hAnsi="Century Gothic" w:cs="Arial"/>
        </w:rPr>
        <w:t xml:space="preserve"> </w:t>
      </w:r>
      <w:r w:rsidR="0035314D">
        <w:rPr>
          <w:rFonts w:ascii="Century Gothic" w:hAnsi="Century Gothic" w:cs="Arial"/>
        </w:rPr>
        <w:t>Two</w:t>
      </w:r>
      <w:r w:rsidR="00637847" w:rsidRPr="001F32B1">
        <w:rPr>
          <w:rFonts w:ascii="Century Gothic" w:hAnsi="Century Gothic" w:cs="Arial"/>
        </w:rPr>
        <w:t xml:space="preserve"> w</w:t>
      </w:r>
      <w:r w:rsidR="0035314D">
        <w:rPr>
          <w:rFonts w:ascii="Century Gothic" w:hAnsi="Century Gothic" w:cs="Arial"/>
        </w:rPr>
        <w:t>ater supply wells</w:t>
      </w:r>
      <w:r w:rsidR="000B26AE">
        <w:rPr>
          <w:rFonts w:ascii="Century Gothic" w:hAnsi="Century Gothic" w:cs="Arial"/>
        </w:rPr>
        <w:t xml:space="preserve"> were identified</w:t>
      </w:r>
      <w:r w:rsidR="00637847" w:rsidRPr="001F32B1">
        <w:rPr>
          <w:rFonts w:ascii="Century Gothic" w:hAnsi="Century Gothic" w:cs="Arial"/>
        </w:rPr>
        <w:t xml:space="preserve"> </w:t>
      </w:r>
      <w:r w:rsidR="00D51605" w:rsidRPr="001F32B1">
        <w:rPr>
          <w:rFonts w:ascii="Century Gothic" w:hAnsi="Century Gothic" w:cs="Arial"/>
        </w:rPr>
        <w:t xml:space="preserve">within </w:t>
      </w:r>
      <w:r w:rsidR="00C75737" w:rsidRPr="001F32B1">
        <w:rPr>
          <w:rFonts w:ascii="Century Gothic" w:hAnsi="Century Gothic" w:cs="Arial"/>
        </w:rPr>
        <w:t xml:space="preserve">one mile of the </w:t>
      </w:r>
      <w:r w:rsidR="00D1745C">
        <w:rPr>
          <w:rFonts w:ascii="Century Gothic" w:hAnsi="Century Gothic" w:cs="Arial"/>
        </w:rPr>
        <w:t>Proposal Area</w:t>
      </w:r>
      <w:r w:rsidR="00C75737" w:rsidRPr="001F32B1">
        <w:rPr>
          <w:rFonts w:ascii="Century Gothic" w:hAnsi="Century Gothic" w:cs="Arial"/>
        </w:rPr>
        <w:t xml:space="preserve"> boundary.</w:t>
      </w:r>
      <w:r w:rsidR="00F8254E">
        <w:rPr>
          <w:rFonts w:ascii="Century Gothic" w:hAnsi="Century Gothic" w:cs="Arial"/>
        </w:rPr>
        <w:t xml:space="preserve"> </w:t>
      </w:r>
      <w:r w:rsidR="00C75737" w:rsidRPr="001F32B1">
        <w:rPr>
          <w:rFonts w:ascii="Century Gothic" w:hAnsi="Century Gothic" w:cs="Arial"/>
        </w:rPr>
        <w:t xml:space="preserve">The </w:t>
      </w:r>
      <w:r w:rsidR="008C4782" w:rsidRPr="001F32B1">
        <w:rPr>
          <w:rFonts w:ascii="Century Gothic" w:hAnsi="Century Gothic" w:cs="Arial"/>
        </w:rPr>
        <w:t xml:space="preserve">completion </w:t>
      </w:r>
      <w:r w:rsidR="00C75737" w:rsidRPr="001F32B1">
        <w:rPr>
          <w:rFonts w:ascii="Century Gothic" w:hAnsi="Century Gothic" w:cs="Arial"/>
        </w:rPr>
        <w:t>depth</w:t>
      </w:r>
      <w:r w:rsidR="008C4782" w:rsidRPr="001F32B1">
        <w:rPr>
          <w:rFonts w:ascii="Century Gothic" w:hAnsi="Century Gothic" w:cs="Arial"/>
        </w:rPr>
        <w:t xml:space="preserve">s of </w:t>
      </w:r>
      <w:r w:rsidR="00C75737" w:rsidRPr="001F32B1">
        <w:rPr>
          <w:rFonts w:ascii="Century Gothic" w:hAnsi="Century Gothic" w:cs="Arial"/>
        </w:rPr>
        <w:t xml:space="preserve">these </w:t>
      </w:r>
      <w:r w:rsidR="008C4782" w:rsidRPr="001F32B1">
        <w:rPr>
          <w:rFonts w:ascii="Century Gothic" w:hAnsi="Century Gothic" w:cs="Arial"/>
        </w:rPr>
        <w:t>t</w:t>
      </w:r>
      <w:r w:rsidR="0035314D">
        <w:rPr>
          <w:rFonts w:ascii="Century Gothic" w:hAnsi="Century Gothic" w:cs="Arial"/>
        </w:rPr>
        <w:t>wo</w:t>
      </w:r>
      <w:r w:rsidR="008C4782" w:rsidRPr="001F32B1">
        <w:rPr>
          <w:rFonts w:ascii="Century Gothic" w:hAnsi="Century Gothic" w:cs="Arial"/>
        </w:rPr>
        <w:t xml:space="preserve"> </w:t>
      </w:r>
      <w:r w:rsidR="00C75737" w:rsidRPr="001F32B1">
        <w:rPr>
          <w:rFonts w:ascii="Century Gothic" w:hAnsi="Century Gothic" w:cs="Arial"/>
        </w:rPr>
        <w:t xml:space="preserve">wells </w:t>
      </w:r>
      <w:r w:rsidR="00DC0BB9" w:rsidRPr="001F32B1">
        <w:rPr>
          <w:rFonts w:ascii="Century Gothic" w:hAnsi="Century Gothic" w:cs="Arial"/>
        </w:rPr>
        <w:t>are</w:t>
      </w:r>
      <w:r w:rsidR="00C75737" w:rsidRPr="001F32B1">
        <w:rPr>
          <w:rFonts w:ascii="Century Gothic" w:hAnsi="Century Gothic" w:cs="Arial"/>
        </w:rPr>
        <w:t xml:space="preserve"> </w:t>
      </w:r>
      <w:r w:rsidR="008C4782" w:rsidRPr="001F32B1">
        <w:rPr>
          <w:rFonts w:ascii="Century Gothic" w:hAnsi="Century Gothic" w:cs="Arial"/>
        </w:rPr>
        <w:t>not available</w:t>
      </w:r>
      <w:r w:rsidR="00E11922" w:rsidRPr="001F32B1">
        <w:rPr>
          <w:rFonts w:ascii="Century Gothic" w:hAnsi="Century Gothic" w:cs="Arial"/>
        </w:rPr>
        <w:t>.</w:t>
      </w:r>
      <w:r w:rsidR="00F8254E">
        <w:rPr>
          <w:rFonts w:ascii="Century Gothic" w:hAnsi="Century Gothic" w:cs="Arial"/>
        </w:rPr>
        <w:t xml:space="preserve"> </w:t>
      </w:r>
      <w:r w:rsidR="000B26AE">
        <w:rPr>
          <w:rFonts w:ascii="Century Gothic" w:hAnsi="Century Gothic" w:cs="Arial"/>
        </w:rPr>
        <w:t>Field reconnaissance</w:t>
      </w:r>
      <w:r w:rsidR="00EC6859">
        <w:rPr>
          <w:rFonts w:ascii="Century Gothic" w:hAnsi="Century Gothic" w:cs="Arial"/>
        </w:rPr>
        <w:t xml:space="preserve"> was unable to locate or find evidence of these two water supply wells.</w:t>
      </w:r>
      <w:r w:rsidR="00F8254E">
        <w:rPr>
          <w:rFonts w:ascii="Century Gothic" w:hAnsi="Century Gothic" w:cs="Arial"/>
        </w:rPr>
        <w:t xml:space="preserve"> </w:t>
      </w:r>
      <w:r w:rsidR="00F4430C">
        <w:rPr>
          <w:rFonts w:ascii="Century Gothic" w:hAnsi="Century Gothic" w:cs="Arial"/>
        </w:rPr>
        <w:t xml:space="preserve">A third potential water supply well, other, </w:t>
      </w:r>
      <w:r w:rsidR="00DD2C3E">
        <w:rPr>
          <w:rFonts w:ascii="Century Gothic" w:hAnsi="Century Gothic" w:cs="Arial"/>
        </w:rPr>
        <w:t xml:space="preserve">may </w:t>
      </w:r>
      <w:r w:rsidR="00F4430C">
        <w:rPr>
          <w:rFonts w:ascii="Century Gothic" w:hAnsi="Century Gothic" w:cs="Arial"/>
        </w:rPr>
        <w:t xml:space="preserve">exist within one mile of the Proposal Area. </w:t>
      </w:r>
      <w:r w:rsidR="00DA2A55">
        <w:rPr>
          <w:rFonts w:ascii="Century Gothic" w:hAnsi="Century Gothic" w:cs="Arial"/>
        </w:rPr>
        <w:t xml:space="preserve">The water supply wells </w:t>
      </w:r>
      <w:r w:rsidR="0010337D">
        <w:rPr>
          <w:rFonts w:ascii="Century Gothic" w:hAnsi="Century Gothic" w:cs="Arial"/>
        </w:rPr>
        <w:t xml:space="preserve">within one mile of the Proposal Area </w:t>
      </w:r>
      <w:r w:rsidR="00DA2A55">
        <w:rPr>
          <w:rFonts w:ascii="Century Gothic" w:hAnsi="Century Gothic" w:cs="Arial"/>
        </w:rPr>
        <w:t xml:space="preserve">are inactive. </w:t>
      </w:r>
      <w:r w:rsidR="00C75737" w:rsidRPr="001F32B1">
        <w:rPr>
          <w:rFonts w:ascii="Century Gothic" w:hAnsi="Century Gothic" w:cs="Arial"/>
        </w:rPr>
        <w:t>The nearest known active agricultural</w:t>
      </w:r>
      <w:r w:rsidR="00053D0A" w:rsidRPr="001F32B1">
        <w:rPr>
          <w:rFonts w:ascii="Century Gothic" w:hAnsi="Century Gothic" w:cs="Arial"/>
        </w:rPr>
        <w:t>, municipal, and domestic</w:t>
      </w:r>
      <w:r w:rsidR="00C75737" w:rsidRPr="001F32B1">
        <w:rPr>
          <w:rFonts w:ascii="Century Gothic" w:hAnsi="Century Gothic" w:cs="Arial"/>
        </w:rPr>
        <w:t xml:space="preserve"> water supply wells are </w:t>
      </w:r>
      <w:r w:rsidR="00F20C3D" w:rsidRPr="001F32B1">
        <w:rPr>
          <w:rFonts w:ascii="Century Gothic" w:hAnsi="Century Gothic" w:cs="Arial"/>
        </w:rPr>
        <w:t>7.9, 10.4, and 11.4</w:t>
      </w:r>
      <w:r w:rsidR="00D51605" w:rsidRPr="001F32B1">
        <w:rPr>
          <w:rFonts w:ascii="Century Gothic" w:hAnsi="Century Gothic" w:cs="Arial"/>
        </w:rPr>
        <w:t xml:space="preserve"> miles</w:t>
      </w:r>
      <w:r w:rsidR="00D1745C">
        <w:rPr>
          <w:rFonts w:ascii="Century Gothic" w:hAnsi="Century Gothic" w:cs="Arial"/>
        </w:rPr>
        <w:t xml:space="preserve"> away</w:t>
      </w:r>
      <w:r w:rsidR="00053D0A" w:rsidRPr="001F32B1">
        <w:rPr>
          <w:rFonts w:ascii="Century Gothic" w:hAnsi="Century Gothic" w:cs="Arial"/>
        </w:rPr>
        <w:t xml:space="preserve"> f</w:t>
      </w:r>
      <w:r w:rsidR="00C75737" w:rsidRPr="001F32B1">
        <w:rPr>
          <w:rFonts w:ascii="Century Gothic" w:hAnsi="Century Gothic" w:cs="Arial"/>
        </w:rPr>
        <w:t>rom the</w:t>
      </w:r>
      <w:r w:rsidR="00637847" w:rsidRPr="001F32B1">
        <w:rPr>
          <w:rFonts w:ascii="Century Gothic" w:hAnsi="Century Gothic" w:cs="Arial"/>
        </w:rPr>
        <w:t xml:space="preserve"> </w:t>
      </w:r>
      <w:r w:rsidR="00D1745C">
        <w:rPr>
          <w:rFonts w:ascii="Century Gothic" w:hAnsi="Century Gothic" w:cs="Arial"/>
        </w:rPr>
        <w:t>Proposal Area</w:t>
      </w:r>
      <w:r w:rsidR="00637847" w:rsidRPr="330CB019">
        <w:rPr>
          <w:rFonts w:ascii="Century Gothic" w:hAnsi="Century Gothic" w:cs="Arial"/>
        </w:rPr>
        <w:t xml:space="preserve"> boundary</w:t>
      </w:r>
      <w:r w:rsidR="00D1745C">
        <w:rPr>
          <w:rFonts w:ascii="Century Gothic" w:hAnsi="Century Gothic" w:cs="Arial"/>
        </w:rPr>
        <w:t>, respectively</w:t>
      </w:r>
      <w:r w:rsidR="00637847" w:rsidRPr="330CB019">
        <w:rPr>
          <w:rFonts w:ascii="Century Gothic" w:hAnsi="Century Gothic" w:cs="Arial"/>
        </w:rPr>
        <w:t xml:space="preserve">. </w:t>
      </w:r>
    </w:p>
    <w:p w14:paraId="5AF93E97" w14:textId="5B524FA5" w:rsidR="001D2F87" w:rsidRPr="009B7FEE" w:rsidRDefault="001D2F87" w:rsidP="00745B95">
      <w:pPr>
        <w:rPr>
          <w:rFonts w:ascii="Century Gothic" w:eastAsia="Calibri" w:hAnsi="Century Gothic" w:cs="Arial"/>
          <w:b/>
        </w:rPr>
      </w:pPr>
    </w:p>
    <w:p w14:paraId="26E30F3C" w14:textId="35E05CDD" w:rsidR="00210A4B" w:rsidRPr="009B7FEE" w:rsidRDefault="00D51605" w:rsidP="00550598">
      <w:pPr>
        <w:ind w:left="360"/>
        <w:rPr>
          <w:rFonts w:ascii="Century Gothic" w:hAnsi="Century Gothic" w:cs="Arial"/>
          <w:i/>
          <w:u w:val="single"/>
        </w:rPr>
      </w:pPr>
      <w:r>
        <w:rPr>
          <w:rFonts w:ascii="Century Gothic" w:eastAsia="Calibri" w:hAnsi="Century Gothic" w:cs="Arial"/>
          <w:i/>
          <w:u w:val="single"/>
        </w:rPr>
        <w:t>The total dissolved solids content of the groundwater is more than 3,000 mg/L and less than 10,000 mg/L and is not reasonably expected to supply a public water system</w:t>
      </w:r>
      <w:r w:rsidR="00C65CAD" w:rsidRPr="009B7FEE">
        <w:rPr>
          <w:rFonts w:ascii="Century Gothic" w:eastAsia="Calibri" w:hAnsi="Century Gothic" w:cs="Arial"/>
          <w:i/>
          <w:u w:val="single"/>
        </w:rPr>
        <w:t xml:space="preserve">. </w:t>
      </w:r>
      <w:r w:rsidR="00B10142" w:rsidRPr="009B7FEE">
        <w:rPr>
          <w:rFonts w:ascii="Century Gothic" w:eastAsia="Calibri" w:hAnsi="Century Gothic" w:cs="Arial"/>
          <w:i/>
          <w:u w:val="single"/>
        </w:rPr>
        <w:t>(</w:t>
      </w:r>
      <w:r w:rsidR="00210A4B" w:rsidRPr="009B7FEE">
        <w:rPr>
          <w:rFonts w:ascii="Century Gothic" w:hAnsi="Century Gothic" w:cs="Arial"/>
          <w:i/>
          <w:u w:val="single"/>
        </w:rPr>
        <w:t>40 CFR §</w:t>
      </w:r>
      <w:r w:rsidR="00B10142" w:rsidRPr="009B7FEE">
        <w:rPr>
          <w:rFonts w:ascii="Century Gothic" w:hAnsi="Century Gothic" w:cs="Arial"/>
          <w:i/>
          <w:u w:val="single"/>
        </w:rPr>
        <w:t xml:space="preserve"> </w:t>
      </w:r>
      <w:r w:rsidR="00210A4B" w:rsidRPr="009B7FEE">
        <w:rPr>
          <w:rFonts w:ascii="Century Gothic" w:hAnsi="Century Gothic" w:cs="Arial"/>
          <w:i/>
          <w:u w:val="single"/>
        </w:rPr>
        <w:t>146.4</w:t>
      </w:r>
      <w:r w:rsidR="00FB5AF4" w:rsidRPr="009B7FEE">
        <w:rPr>
          <w:rFonts w:ascii="Century Gothic" w:hAnsi="Century Gothic" w:cs="Arial"/>
          <w:i/>
          <w:u w:val="single"/>
        </w:rPr>
        <w:t>(</w:t>
      </w:r>
      <w:r>
        <w:rPr>
          <w:rFonts w:ascii="Century Gothic" w:hAnsi="Century Gothic" w:cs="Arial"/>
          <w:i/>
          <w:u w:val="single"/>
        </w:rPr>
        <w:t>c</w:t>
      </w:r>
      <w:r w:rsidR="00B10142" w:rsidRPr="009B7FEE">
        <w:rPr>
          <w:rFonts w:ascii="Century Gothic" w:hAnsi="Century Gothic" w:cs="Arial"/>
          <w:i/>
          <w:u w:val="single"/>
        </w:rPr>
        <w:t>))</w:t>
      </w:r>
    </w:p>
    <w:p w14:paraId="06CD76BC" w14:textId="77777777" w:rsidR="00EE6DF3" w:rsidRDefault="00EE6DF3" w:rsidP="001374BD">
      <w:pPr>
        <w:rPr>
          <w:rFonts w:ascii="Century Gothic" w:hAnsi="Century Gothic" w:cs="Arial"/>
          <w:i/>
          <w:u w:val="single"/>
        </w:rPr>
      </w:pPr>
    </w:p>
    <w:p w14:paraId="10F1902C" w14:textId="5E14D6BB" w:rsidR="001374BD" w:rsidRPr="001374BD" w:rsidRDefault="001374BD" w:rsidP="001374BD">
      <w:pPr>
        <w:rPr>
          <w:rFonts w:ascii="Century Gothic" w:hAnsi="Century Gothic" w:cs="Arial"/>
        </w:rPr>
      </w:pPr>
      <w:r w:rsidRPr="4B21AE85">
        <w:rPr>
          <w:rFonts w:ascii="Century Gothic" w:hAnsi="Century Gothic" w:cs="Arial"/>
        </w:rPr>
        <w:t xml:space="preserve">The total dissolved solids (TDS) content of the </w:t>
      </w:r>
      <w:r w:rsidR="00193CE1" w:rsidRPr="4B21AE85">
        <w:rPr>
          <w:rFonts w:ascii="Century Gothic" w:hAnsi="Century Gothic" w:cs="Arial"/>
        </w:rPr>
        <w:t>Tulare Oil Sand</w:t>
      </w:r>
      <w:r w:rsidRPr="4B21AE85">
        <w:rPr>
          <w:rFonts w:ascii="Century Gothic" w:hAnsi="Century Gothic" w:cs="Arial"/>
        </w:rPr>
        <w:t xml:space="preserve"> water </w:t>
      </w:r>
      <w:r w:rsidR="00193CE1" w:rsidRPr="4B21AE85">
        <w:rPr>
          <w:rFonts w:ascii="Century Gothic" w:hAnsi="Century Gothic" w:cs="Arial"/>
        </w:rPr>
        <w:t xml:space="preserve">is between 3,000 to </w:t>
      </w:r>
      <w:r w:rsidR="00193CE1" w:rsidRPr="4B21AE85">
        <w:rPr>
          <w:rFonts w:ascii="Century Gothic" w:hAnsi="Century Gothic" w:cs="Arial"/>
        </w:rPr>
        <w:lastRenderedPageBreak/>
        <w:t xml:space="preserve">10,000 </w:t>
      </w:r>
      <w:r w:rsidRPr="4B21AE85">
        <w:rPr>
          <w:rFonts w:ascii="Century Gothic" w:hAnsi="Century Gothic" w:cs="Arial"/>
        </w:rPr>
        <w:t>milligrams per liter (m</w:t>
      </w:r>
      <w:r w:rsidR="00420227">
        <w:rPr>
          <w:rFonts w:ascii="Century Gothic" w:hAnsi="Century Gothic" w:cs="Arial"/>
        </w:rPr>
        <w:t>g</w:t>
      </w:r>
      <w:r w:rsidRPr="4B21AE85">
        <w:rPr>
          <w:rFonts w:ascii="Century Gothic" w:hAnsi="Century Gothic" w:cs="Arial"/>
        </w:rPr>
        <w:t xml:space="preserve">/L), ranging from </w:t>
      </w:r>
      <w:r w:rsidR="00193CE1" w:rsidRPr="4B21AE85">
        <w:rPr>
          <w:rFonts w:ascii="Century Gothic" w:hAnsi="Century Gothic" w:cs="Arial"/>
        </w:rPr>
        <w:t>9,600</w:t>
      </w:r>
      <w:r w:rsidRPr="4B21AE85">
        <w:rPr>
          <w:rFonts w:ascii="Century Gothic" w:hAnsi="Century Gothic" w:cs="Arial"/>
        </w:rPr>
        <w:t xml:space="preserve"> </w:t>
      </w:r>
      <w:r w:rsidR="005B0D0C" w:rsidRPr="4B21AE85">
        <w:rPr>
          <w:rFonts w:ascii="Century Gothic" w:hAnsi="Century Gothic" w:cs="Arial"/>
        </w:rPr>
        <w:t xml:space="preserve">mg/L </w:t>
      </w:r>
      <w:r w:rsidRPr="4B21AE85">
        <w:rPr>
          <w:rFonts w:ascii="Century Gothic" w:hAnsi="Century Gothic" w:cs="Arial"/>
        </w:rPr>
        <w:t xml:space="preserve">to </w:t>
      </w:r>
      <w:r w:rsidR="00193CE1" w:rsidRPr="4B21AE85">
        <w:rPr>
          <w:rFonts w:ascii="Century Gothic" w:hAnsi="Century Gothic" w:cs="Arial"/>
        </w:rPr>
        <w:t>9</w:t>
      </w:r>
      <w:r w:rsidRPr="4B21AE85">
        <w:rPr>
          <w:rFonts w:ascii="Century Gothic" w:hAnsi="Century Gothic" w:cs="Arial"/>
        </w:rPr>
        <w:t>,</w:t>
      </w:r>
      <w:r w:rsidR="00193CE1" w:rsidRPr="4B21AE85">
        <w:rPr>
          <w:rFonts w:ascii="Century Gothic" w:hAnsi="Century Gothic" w:cs="Arial"/>
        </w:rPr>
        <w:t>9</w:t>
      </w:r>
      <w:r w:rsidR="002C5477" w:rsidRPr="4B21AE85">
        <w:rPr>
          <w:rFonts w:ascii="Century Gothic" w:hAnsi="Century Gothic" w:cs="Arial"/>
        </w:rPr>
        <w:t>00</w:t>
      </w:r>
      <w:r w:rsidRPr="4B21AE85">
        <w:rPr>
          <w:rFonts w:ascii="Century Gothic" w:hAnsi="Century Gothic" w:cs="Arial"/>
        </w:rPr>
        <w:t xml:space="preserve"> mg/L.</w:t>
      </w:r>
      <w:r w:rsidR="00F8254E">
        <w:rPr>
          <w:rFonts w:ascii="Century Gothic" w:hAnsi="Century Gothic" w:cs="Arial"/>
        </w:rPr>
        <w:t xml:space="preserve"> </w:t>
      </w:r>
      <w:r w:rsidRPr="4B21AE85">
        <w:rPr>
          <w:rFonts w:ascii="Century Gothic" w:hAnsi="Century Gothic" w:cs="Arial"/>
        </w:rPr>
        <w:t>Th</w:t>
      </w:r>
      <w:r w:rsidR="00852EE6" w:rsidRPr="4B21AE85">
        <w:rPr>
          <w:rFonts w:ascii="Century Gothic" w:hAnsi="Century Gothic" w:cs="Arial"/>
        </w:rPr>
        <w:t>ese data are</w:t>
      </w:r>
      <w:r w:rsidRPr="4B21AE85">
        <w:rPr>
          <w:rFonts w:ascii="Century Gothic" w:hAnsi="Century Gothic" w:cs="Arial"/>
        </w:rPr>
        <w:t xml:space="preserve"> based on historical water quality </w:t>
      </w:r>
      <w:r w:rsidR="00852EE6" w:rsidRPr="4B21AE85">
        <w:rPr>
          <w:rFonts w:ascii="Century Gothic" w:hAnsi="Century Gothic" w:cs="Arial"/>
        </w:rPr>
        <w:t>samples</w:t>
      </w:r>
      <w:r w:rsidRPr="4B21AE85">
        <w:rPr>
          <w:rFonts w:ascii="Century Gothic" w:hAnsi="Century Gothic" w:cs="Arial"/>
        </w:rPr>
        <w:t xml:space="preserve"> collected </w:t>
      </w:r>
      <w:r w:rsidR="00193CE1" w:rsidRPr="4B21AE85">
        <w:rPr>
          <w:rFonts w:ascii="Century Gothic" w:hAnsi="Century Gothic" w:cs="Arial"/>
        </w:rPr>
        <w:t xml:space="preserve">within the </w:t>
      </w:r>
      <w:r w:rsidR="008A7407" w:rsidRPr="4B21AE85">
        <w:rPr>
          <w:rFonts w:ascii="Century Gothic" w:hAnsi="Century Gothic" w:cs="Arial"/>
        </w:rPr>
        <w:t xml:space="preserve">aquifer exemption </w:t>
      </w:r>
      <w:r w:rsidR="00D1745C" w:rsidRPr="4B21AE85">
        <w:rPr>
          <w:rFonts w:ascii="Century Gothic" w:hAnsi="Century Gothic" w:cs="Arial"/>
        </w:rPr>
        <w:t>Proposal Area</w:t>
      </w:r>
      <w:r w:rsidRPr="4B21AE85">
        <w:rPr>
          <w:rFonts w:ascii="Century Gothic" w:hAnsi="Century Gothic" w:cs="Arial"/>
        </w:rPr>
        <w:t>.</w:t>
      </w:r>
      <w:r w:rsidR="00F8254E">
        <w:rPr>
          <w:rFonts w:ascii="Century Gothic" w:hAnsi="Century Gothic" w:cs="Arial"/>
        </w:rPr>
        <w:t xml:space="preserve"> </w:t>
      </w:r>
      <w:r w:rsidR="00193CE1" w:rsidRPr="4B21AE85">
        <w:rPr>
          <w:rFonts w:ascii="Century Gothic" w:hAnsi="Century Gothic" w:cs="Arial"/>
        </w:rPr>
        <w:t xml:space="preserve">In addition to the </w:t>
      </w:r>
      <w:r w:rsidR="007D383A" w:rsidRPr="4B21AE85">
        <w:rPr>
          <w:rFonts w:ascii="Century Gothic" w:hAnsi="Century Gothic" w:cs="Arial"/>
        </w:rPr>
        <w:t>elevated</w:t>
      </w:r>
      <w:r w:rsidR="00193CE1" w:rsidRPr="4B21AE85">
        <w:rPr>
          <w:rFonts w:ascii="Century Gothic" w:hAnsi="Century Gothic" w:cs="Arial"/>
        </w:rPr>
        <w:t xml:space="preserve"> TDS concentrations, </w:t>
      </w:r>
      <w:r w:rsidR="008803B0">
        <w:rPr>
          <w:rFonts w:ascii="Century Gothic" w:hAnsi="Century Gothic" w:cs="Arial"/>
        </w:rPr>
        <w:t>t</w:t>
      </w:r>
      <w:r w:rsidR="002351D3" w:rsidRPr="4B21AE85">
        <w:rPr>
          <w:rFonts w:ascii="Century Gothic" w:hAnsi="Century Gothic" w:cs="Arial"/>
        </w:rPr>
        <w:t xml:space="preserve">he Tulare Oil Sand </w:t>
      </w:r>
      <w:r w:rsidR="00852EE6" w:rsidRPr="4B21AE85">
        <w:rPr>
          <w:rFonts w:ascii="Century Gothic" w:hAnsi="Century Gothic" w:cs="Arial"/>
        </w:rPr>
        <w:t xml:space="preserve">is not reasonably expected to supply a public water supply system due to the presence of </w:t>
      </w:r>
      <w:r w:rsidR="00193CE1" w:rsidRPr="4B21AE85">
        <w:rPr>
          <w:rFonts w:ascii="Century Gothic" w:hAnsi="Century Gothic" w:cs="Arial"/>
        </w:rPr>
        <w:t>other constituents harmful to human and plan</w:t>
      </w:r>
      <w:r w:rsidR="00584819" w:rsidRPr="4B21AE85">
        <w:rPr>
          <w:rFonts w:ascii="Century Gothic" w:hAnsi="Century Gothic" w:cs="Arial"/>
        </w:rPr>
        <w:t>t</w:t>
      </w:r>
      <w:r w:rsidR="00193CE1" w:rsidRPr="4B21AE85">
        <w:rPr>
          <w:rFonts w:ascii="Century Gothic" w:hAnsi="Century Gothic" w:cs="Arial"/>
        </w:rPr>
        <w:t xml:space="preserve"> health </w:t>
      </w:r>
      <w:r w:rsidR="005B0D0C" w:rsidRPr="4B21AE85">
        <w:rPr>
          <w:rFonts w:ascii="Century Gothic" w:hAnsi="Century Gothic" w:cs="Arial"/>
        </w:rPr>
        <w:t>such as boron, which ranges from 25 mg/L to 28 mg/L.</w:t>
      </w:r>
      <w:r w:rsidR="00113C7E">
        <w:rPr>
          <w:rFonts w:ascii="Century Gothic" w:hAnsi="Century Gothic" w:cs="Arial"/>
        </w:rPr>
        <w:t xml:space="preserve"> The Tulare Oil Sand has no natural recharge from </w:t>
      </w:r>
      <w:r w:rsidR="005212FC">
        <w:rPr>
          <w:rFonts w:ascii="Century Gothic" w:hAnsi="Century Gothic" w:cs="Arial"/>
        </w:rPr>
        <w:t>the surface</w:t>
      </w:r>
      <w:r w:rsidR="00113C7E">
        <w:rPr>
          <w:rFonts w:ascii="Century Gothic" w:hAnsi="Century Gothic" w:cs="Arial"/>
        </w:rPr>
        <w:t>.</w:t>
      </w:r>
      <w:r w:rsidR="00F8254E">
        <w:rPr>
          <w:rFonts w:ascii="Century Gothic" w:hAnsi="Century Gothic" w:cs="Arial"/>
        </w:rPr>
        <w:t xml:space="preserve"> </w:t>
      </w:r>
      <w:r w:rsidR="00852EE6" w:rsidRPr="4B21AE85">
        <w:rPr>
          <w:rFonts w:ascii="Century Gothic" w:hAnsi="Century Gothic" w:cs="Arial"/>
        </w:rPr>
        <w:t>Further, t</w:t>
      </w:r>
      <w:r w:rsidR="003F2B59" w:rsidRPr="4B21AE85">
        <w:rPr>
          <w:rFonts w:ascii="Century Gothic" w:hAnsi="Century Gothic" w:cs="Arial"/>
        </w:rPr>
        <w:t>he</w:t>
      </w:r>
      <w:r w:rsidR="005B0D0C" w:rsidRPr="4B21AE85">
        <w:rPr>
          <w:rFonts w:ascii="Century Gothic" w:hAnsi="Century Gothic" w:cs="Arial"/>
        </w:rPr>
        <w:t xml:space="preserve"> Tulare Oil Sand contains demonstratable hydrocarbons across approximately two-thirds of the </w:t>
      </w:r>
      <w:r w:rsidR="00BB440A" w:rsidRPr="4B21AE85">
        <w:rPr>
          <w:rFonts w:ascii="Century Gothic" w:hAnsi="Century Gothic" w:cs="Arial"/>
        </w:rPr>
        <w:t>P</w:t>
      </w:r>
      <w:r w:rsidR="005B0D0C" w:rsidRPr="4B21AE85">
        <w:rPr>
          <w:rFonts w:ascii="Century Gothic" w:hAnsi="Century Gothic" w:cs="Arial"/>
        </w:rPr>
        <w:t xml:space="preserve">roposal </w:t>
      </w:r>
      <w:r w:rsidR="00BB440A" w:rsidRPr="4B21AE85">
        <w:rPr>
          <w:rFonts w:ascii="Century Gothic" w:hAnsi="Century Gothic" w:cs="Arial"/>
        </w:rPr>
        <w:t>A</w:t>
      </w:r>
      <w:r w:rsidR="005B0D0C" w:rsidRPr="4B21AE85">
        <w:rPr>
          <w:rFonts w:ascii="Century Gothic" w:hAnsi="Century Gothic" w:cs="Arial"/>
        </w:rPr>
        <w:t>rea.</w:t>
      </w:r>
      <w:r w:rsidR="00F8254E">
        <w:rPr>
          <w:rFonts w:ascii="Century Gothic" w:hAnsi="Century Gothic" w:cs="Arial"/>
        </w:rPr>
        <w:t xml:space="preserve"> </w:t>
      </w:r>
      <w:r w:rsidR="00A755DD" w:rsidRPr="4B21AE85">
        <w:rPr>
          <w:rFonts w:ascii="Century Gothic" w:hAnsi="Century Gothic" w:cs="Arial"/>
        </w:rPr>
        <w:t>T</w:t>
      </w:r>
      <w:r w:rsidRPr="4B21AE85">
        <w:rPr>
          <w:rFonts w:ascii="Century Gothic" w:hAnsi="Century Gothic" w:cs="Arial"/>
        </w:rPr>
        <w:t xml:space="preserve">he </w:t>
      </w:r>
      <w:r w:rsidR="0033670D" w:rsidRPr="4B21AE85">
        <w:rPr>
          <w:rFonts w:ascii="Century Gothic" w:hAnsi="Century Gothic" w:cs="Arial"/>
        </w:rPr>
        <w:t>ground</w:t>
      </w:r>
      <w:r w:rsidRPr="4B21AE85">
        <w:rPr>
          <w:rFonts w:ascii="Century Gothic" w:hAnsi="Century Gothic" w:cs="Arial"/>
        </w:rPr>
        <w:t xml:space="preserve">water </w:t>
      </w:r>
      <w:r w:rsidR="0033670D" w:rsidRPr="4B21AE85">
        <w:rPr>
          <w:rFonts w:ascii="Century Gothic" w:hAnsi="Century Gothic" w:cs="Arial"/>
        </w:rPr>
        <w:t>within</w:t>
      </w:r>
      <w:r w:rsidRPr="4B21AE85">
        <w:rPr>
          <w:rFonts w:ascii="Century Gothic" w:hAnsi="Century Gothic" w:cs="Arial"/>
        </w:rPr>
        <w:t xml:space="preserve"> the </w:t>
      </w:r>
      <w:r w:rsidR="00EE6DF3" w:rsidRPr="4B21AE85">
        <w:rPr>
          <w:rFonts w:ascii="Century Gothic" w:hAnsi="Century Gothic" w:cs="Arial"/>
        </w:rPr>
        <w:t>Tulare Oil Sand</w:t>
      </w:r>
      <w:r w:rsidR="00113C7E">
        <w:rPr>
          <w:rFonts w:ascii="Century Gothic" w:hAnsi="Century Gothic" w:cs="Arial"/>
        </w:rPr>
        <w:t xml:space="preserve"> </w:t>
      </w:r>
      <w:r w:rsidR="007661E4" w:rsidRPr="007661E4">
        <w:rPr>
          <w:rFonts w:ascii="Century Gothic" w:hAnsi="Century Gothic" w:cs="Arial"/>
        </w:rPr>
        <w:t xml:space="preserve">is not reasonably expected </w:t>
      </w:r>
      <w:r w:rsidR="00294DBB">
        <w:rPr>
          <w:rFonts w:ascii="Century Gothic" w:hAnsi="Century Gothic" w:cs="Arial"/>
        </w:rPr>
        <w:t xml:space="preserve">to </w:t>
      </w:r>
      <w:r w:rsidRPr="4B21AE85">
        <w:rPr>
          <w:rFonts w:ascii="Century Gothic" w:hAnsi="Century Gothic" w:cs="Arial"/>
        </w:rPr>
        <w:t xml:space="preserve">serve as a source of drinking water </w:t>
      </w:r>
      <w:r w:rsidR="00852EE6" w:rsidRPr="4B21AE85">
        <w:rPr>
          <w:rFonts w:ascii="Century Gothic" w:hAnsi="Century Gothic" w:cs="Arial"/>
        </w:rPr>
        <w:t>due to elevated TDS and the presence of other constituents harmful to human and plant health such as elevated boron and hydrocarbons.</w:t>
      </w:r>
      <w:r w:rsidR="00F8254E">
        <w:rPr>
          <w:rFonts w:ascii="Century Gothic" w:hAnsi="Century Gothic" w:cs="Arial"/>
        </w:rPr>
        <w:t xml:space="preserve"> </w:t>
      </w:r>
      <w:r w:rsidRPr="4B21AE85">
        <w:rPr>
          <w:rFonts w:ascii="Century Gothic" w:hAnsi="Century Gothic" w:cs="Arial"/>
        </w:rPr>
        <w:t> </w:t>
      </w:r>
    </w:p>
    <w:p w14:paraId="3322EB6E" w14:textId="77777777" w:rsidR="00882A98" w:rsidRPr="009B7FEE" w:rsidRDefault="00882A98" w:rsidP="00745B95">
      <w:pPr>
        <w:pStyle w:val="BodyText"/>
        <w:ind w:left="0"/>
        <w:rPr>
          <w:rFonts w:ascii="Century Gothic" w:hAnsi="Century Gothic" w:cs="Arial"/>
          <w:b/>
          <w:sz w:val="22"/>
          <w:szCs w:val="22"/>
        </w:rPr>
      </w:pPr>
    </w:p>
    <w:p w14:paraId="7110AA08" w14:textId="4A5BF9CA" w:rsidR="00FB5AF4" w:rsidRPr="00594C71" w:rsidRDefault="0010046A" w:rsidP="00594C71">
      <w:pPr>
        <w:pStyle w:val="Heading2"/>
        <w:rPr>
          <w:rFonts w:ascii="Century Gothic" w:hAnsi="Century Gothic" w:cs="Arial"/>
          <w:b/>
          <w:bCs/>
          <w:color w:val="auto"/>
          <w:sz w:val="22"/>
          <w:szCs w:val="18"/>
        </w:rPr>
      </w:pPr>
      <w:r w:rsidRPr="00594C71">
        <w:rPr>
          <w:rFonts w:ascii="Century Gothic" w:hAnsi="Century Gothic" w:cs="Arial"/>
          <w:b/>
          <w:bCs/>
          <w:color w:val="auto"/>
          <w:sz w:val="22"/>
          <w:szCs w:val="18"/>
        </w:rPr>
        <w:t xml:space="preserve">Proposal </w:t>
      </w:r>
      <w:r w:rsidR="007946DA" w:rsidRPr="00594C71">
        <w:rPr>
          <w:rFonts w:ascii="Century Gothic" w:hAnsi="Century Gothic" w:cs="Arial"/>
          <w:b/>
          <w:bCs/>
          <w:color w:val="auto"/>
          <w:sz w:val="22"/>
          <w:szCs w:val="18"/>
        </w:rPr>
        <w:t xml:space="preserve">Area </w:t>
      </w:r>
      <w:r w:rsidRPr="00594C71">
        <w:rPr>
          <w:rFonts w:ascii="Century Gothic" w:hAnsi="Century Gothic" w:cs="Arial"/>
          <w:b/>
          <w:bCs/>
          <w:color w:val="auto"/>
          <w:sz w:val="22"/>
          <w:szCs w:val="18"/>
        </w:rPr>
        <w:t xml:space="preserve">Meets California State Criteria </w:t>
      </w:r>
      <w:r w:rsidR="008B6401" w:rsidRPr="00594C71">
        <w:rPr>
          <w:rFonts w:ascii="Century Gothic" w:hAnsi="Century Gothic" w:cs="Arial"/>
          <w:b/>
          <w:bCs/>
          <w:color w:val="auto"/>
          <w:sz w:val="22"/>
          <w:szCs w:val="18"/>
        </w:rPr>
        <w:t>for Aquifer Exemption Proposals</w:t>
      </w:r>
    </w:p>
    <w:p w14:paraId="496DAF8D" w14:textId="77777777" w:rsidR="007C03FD" w:rsidRPr="009B7FEE" w:rsidRDefault="007C03FD" w:rsidP="00745B95">
      <w:pPr>
        <w:pStyle w:val="BodyText"/>
        <w:ind w:left="0"/>
        <w:rPr>
          <w:rFonts w:ascii="Century Gothic" w:hAnsi="Century Gothic" w:cs="Arial"/>
          <w:b/>
          <w:sz w:val="22"/>
          <w:szCs w:val="22"/>
        </w:rPr>
      </w:pPr>
    </w:p>
    <w:p w14:paraId="72777AF5" w14:textId="2A090058" w:rsidR="002F5133" w:rsidRPr="009B7FEE" w:rsidRDefault="00C65CAD" w:rsidP="00550598">
      <w:pPr>
        <w:pStyle w:val="BodyText"/>
        <w:ind w:left="360"/>
        <w:rPr>
          <w:rFonts w:ascii="Century Gothic" w:hAnsi="Century Gothic" w:cs="Arial"/>
          <w:i/>
          <w:sz w:val="22"/>
          <w:szCs w:val="22"/>
          <w:u w:val="single"/>
        </w:rPr>
      </w:pPr>
      <w:r w:rsidRPr="009B7FEE">
        <w:rPr>
          <w:rFonts w:ascii="Century Gothic" w:hAnsi="Century Gothic" w:cs="Arial"/>
          <w:i/>
          <w:sz w:val="22"/>
          <w:szCs w:val="22"/>
          <w:u w:val="single"/>
        </w:rPr>
        <w:t xml:space="preserve">The </w:t>
      </w:r>
      <w:r w:rsidR="007946DA" w:rsidRPr="009B7FEE">
        <w:rPr>
          <w:rFonts w:ascii="Century Gothic" w:hAnsi="Century Gothic" w:cs="Arial"/>
          <w:i/>
          <w:sz w:val="22"/>
          <w:szCs w:val="22"/>
          <w:u w:val="single"/>
        </w:rPr>
        <w:t>Proposal Area</w:t>
      </w:r>
      <w:r w:rsidRPr="009B7FEE">
        <w:rPr>
          <w:rFonts w:ascii="Century Gothic" w:hAnsi="Century Gothic" w:cs="Arial"/>
          <w:i/>
          <w:sz w:val="22"/>
          <w:szCs w:val="22"/>
          <w:u w:val="single"/>
        </w:rPr>
        <w:t xml:space="preserve"> meets </w:t>
      </w:r>
      <w:r w:rsidR="003D25EE" w:rsidRPr="009B7FEE">
        <w:rPr>
          <w:rFonts w:ascii="Century Gothic" w:hAnsi="Century Gothic" w:cs="Arial"/>
          <w:i/>
          <w:sz w:val="22"/>
          <w:szCs w:val="22"/>
          <w:u w:val="single"/>
        </w:rPr>
        <w:t xml:space="preserve">US </w:t>
      </w:r>
      <w:r w:rsidR="002F5133" w:rsidRPr="009B7FEE">
        <w:rPr>
          <w:rFonts w:ascii="Century Gothic" w:hAnsi="Century Gothic" w:cs="Arial"/>
          <w:i/>
          <w:sz w:val="22"/>
          <w:szCs w:val="22"/>
          <w:u w:val="single"/>
        </w:rPr>
        <w:t xml:space="preserve">EPA </w:t>
      </w:r>
      <w:r w:rsidR="007A5B92" w:rsidRPr="009B7FEE">
        <w:rPr>
          <w:rFonts w:ascii="Century Gothic" w:hAnsi="Century Gothic" w:cs="Arial"/>
          <w:i/>
          <w:sz w:val="22"/>
          <w:szCs w:val="22"/>
          <w:u w:val="single"/>
        </w:rPr>
        <w:t>e</w:t>
      </w:r>
      <w:r w:rsidR="002F5133" w:rsidRPr="009B7FEE">
        <w:rPr>
          <w:rFonts w:ascii="Century Gothic" w:hAnsi="Century Gothic" w:cs="Arial"/>
          <w:i/>
          <w:sz w:val="22"/>
          <w:szCs w:val="22"/>
          <w:u w:val="single"/>
        </w:rPr>
        <w:t xml:space="preserve">xemption </w:t>
      </w:r>
      <w:r w:rsidR="007A5B92" w:rsidRPr="009B7FEE">
        <w:rPr>
          <w:rFonts w:ascii="Century Gothic" w:hAnsi="Century Gothic" w:cs="Arial"/>
          <w:i/>
          <w:sz w:val="22"/>
          <w:szCs w:val="22"/>
          <w:u w:val="single"/>
        </w:rPr>
        <w:t>c</w:t>
      </w:r>
      <w:r w:rsidR="002F5133" w:rsidRPr="009B7FEE">
        <w:rPr>
          <w:rFonts w:ascii="Century Gothic" w:hAnsi="Century Gothic" w:cs="Arial"/>
          <w:i/>
          <w:sz w:val="22"/>
          <w:szCs w:val="22"/>
          <w:u w:val="single"/>
        </w:rPr>
        <w:t>riteria</w:t>
      </w:r>
      <w:r w:rsidRPr="009B7FEE">
        <w:rPr>
          <w:rFonts w:ascii="Century Gothic" w:hAnsi="Century Gothic" w:cs="Arial"/>
          <w:i/>
          <w:sz w:val="22"/>
          <w:szCs w:val="22"/>
          <w:u w:val="single"/>
        </w:rPr>
        <w:t>.</w:t>
      </w:r>
      <w:r w:rsidR="003D25EE" w:rsidRPr="009B7FEE">
        <w:rPr>
          <w:rFonts w:ascii="Century Gothic" w:hAnsi="Century Gothic" w:cs="Arial"/>
          <w:i/>
          <w:sz w:val="22"/>
          <w:szCs w:val="22"/>
          <w:u w:val="single"/>
        </w:rPr>
        <w:t xml:space="preserve"> (</w:t>
      </w:r>
      <w:r w:rsidR="007C03FD" w:rsidRPr="009B7FEE">
        <w:rPr>
          <w:rFonts w:ascii="Century Gothic" w:hAnsi="Century Gothic" w:cs="Arial"/>
          <w:i/>
          <w:sz w:val="22"/>
          <w:szCs w:val="22"/>
          <w:u w:val="single"/>
        </w:rPr>
        <w:t>PRC</w:t>
      </w:r>
      <w:r w:rsidR="002F5133" w:rsidRPr="009B7FEE">
        <w:rPr>
          <w:rFonts w:ascii="Century Gothic" w:hAnsi="Century Gothic" w:cs="Arial"/>
          <w:i/>
          <w:sz w:val="22"/>
          <w:szCs w:val="22"/>
          <w:u w:val="single"/>
        </w:rPr>
        <w:t xml:space="preserve"> §</w:t>
      </w:r>
      <w:r w:rsidR="003D25EE" w:rsidRPr="009B7FEE">
        <w:rPr>
          <w:rFonts w:ascii="Century Gothic" w:hAnsi="Century Gothic" w:cs="Arial"/>
          <w:i/>
          <w:sz w:val="22"/>
          <w:szCs w:val="22"/>
          <w:u w:val="single"/>
        </w:rPr>
        <w:t xml:space="preserve"> </w:t>
      </w:r>
      <w:r w:rsidR="002F5133" w:rsidRPr="009B7FEE">
        <w:rPr>
          <w:rFonts w:ascii="Century Gothic" w:hAnsi="Century Gothic" w:cs="Arial"/>
          <w:i/>
          <w:sz w:val="22"/>
          <w:szCs w:val="22"/>
          <w:u w:val="single"/>
        </w:rPr>
        <w:t>3131(a)(1)</w:t>
      </w:r>
      <w:r w:rsidR="003D25EE" w:rsidRPr="009B7FEE">
        <w:rPr>
          <w:rFonts w:ascii="Century Gothic" w:hAnsi="Century Gothic" w:cs="Arial"/>
          <w:i/>
          <w:sz w:val="22"/>
          <w:szCs w:val="22"/>
          <w:u w:val="single"/>
        </w:rPr>
        <w:t>)</w:t>
      </w:r>
    </w:p>
    <w:p w14:paraId="3459A938" w14:textId="77777777" w:rsidR="007C03FD" w:rsidRPr="009B7FEE" w:rsidRDefault="007C03FD" w:rsidP="00745B95">
      <w:pPr>
        <w:pStyle w:val="BodyText"/>
        <w:ind w:left="0"/>
        <w:rPr>
          <w:rFonts w:ascii="Century Gothic" w:hAnsi="Century Gothic" w:cs="Arial"/>
          <w:i/>
          <w:sz w:val="22"/>
          <w:szCs w:val="22"/>
          <w:u w:val="single"/>
        </w:rPr>
      </w:pPr>
    </w:p>
    <w:p w14:paraId="6CB4F08D" w14:textId="66F469BE" w:rsidR="002F5133" w:rsidRPr="009B7FEE" w:rsidRDefault="003D25EE" w:rsidP="00745B95">
      <w:pPr>
        <w:pStyle w:val="BodyText"/>
        <w:ind w:left="0"/>
        <w:rPr>
          <w:rFonts w:ascii="Century Gothic" w:hAnsi="Century Gothic" w:cs="Arial"/>
          <w:sz w:val="22"/>
          <w:szCs w:val="22"/>
        </w:rPr>
      </w:pPr>
      <w:r w:rsidRPr="009B7FEE">
        <w:rPr>
          <w:rFonts w:ascii="Century Gothic" w:hAnsi="Century Gothic" w:cs="Arial"/>
          <w:sz w:val="22"/>
          <w:szCs w:val="22"/>
        </w:rPr>
        <w:t>As discussed above, t</w:t>
      </w:r>
      <w:r w:rsidR="00D27732" w:rsidRPr="009B7FEE">
        <w:rPr>
          <w:rFonts w:ascii="Century Gothic" w:hAnsi="Century Gothic" w:cs="Arial"/>
          <w:sz w:val="22"/>
          <w:szCs w:val="22"/>
        </w:rPr>
        <w:t xml:space="preserve">he </w:t>
      </w:r>
      <w:r w:rsidR="007946DA" w:rsidRPr="009B7FEE">
        <w:rPr>
          <w:rFonts w:ascii="Century Gothic" w:hAnsi="Century Gothic" w:cs="Arial"/>
          <w:sz w:val="22"/>
          <w:szCs w:val="22"/>
        </w:rPr>
        <w:t xml:space="preserve">Proposal Area </w:t>
      </w:r>
      <w:r w:rsidR="002F5133" w:rsidRPr="009B7FEE">
        <w:rPr>
          <w:rFonts w:ascii="Century Gothic" w:hAnsi="Century Gothic" w:cs="Arial"/>
          <w:sz w:val="22"/>
          <w:szCs w:val="22"/>
        </w:rPr>
        <w:t xml:space="preserve">meets </w:t>
      </w:r>
      <w:r w:rsidR="00D27732" w:rsidRPr="009B7FEE">
        <w:rPr>
          <w:rFonts w:ascii="Century Gothic" w:hAnsi="Century Gothic" w:cs="Arial"/>
          <w:sz w:val="22"/>
          <w:szCs w:val="22"/>
        </w:rPr>
        <w:t xml:space="preserve">the </w:t>
      </w:r>
      <w:r w:rsidR="00DC58DC" w:rsidRPr="009B7FEE">
        <w:rPr>
          <w:rFonts w:ascii="Century Gothic" w:hAnsi="Century Gothic" w:cs="Arial"/>
          <w:sz w:val="22"/>
          <w:szCs w:val="22"/>
        </w:rPr>
        <w:t>federal criteria for aquifer exemption</w:t>
      </w:r>
      <w:r w:rsidR="00EB0A23" w:rsidRPr="009B7FEE">
        <w:rPr>
          <w:rFonts w:ascii="Century Gothic" w:hAnsi="Century Gothic" w:cs="Arial"/>
          <w:sz w:val="22"/>
          <w:szCs w:val="22"/>
        </w:rPr>
        <w:t xml:space="preserve"> </w:t>
      </w:r>
      <w:r w:rsidR="00DC58DC" w:rsidRPr="009B7FEE">
        <w:rPr>
          <w:rFonts w:ascii="Century Gothic" w:hAnsi="Century Gothic" w:cs="Arial"/>
          <w:sz w:val="22"/>
          <w:szCs w:val="22"/>
        </w:rPr>
        <w:t>—specifically, 40 CFR sections 146.4(a) and 146.4(</w:t>
      </w:r>
      <w:r w:rsidR="00B869AE">
        <w:rPr>
          <w:rFonts w:ascii="Century Gothic" w:hAnsi="Century Gothic" w:cs="Arial"/>
          <w:sz w:val="22"/>
          <w:szCs w:val="22"/>
        </w:rPr>
        <w:t>c</w:t>
      </w:r>
      <w:r w:rsidR="00DC58DC" w:rsidRPr="009B7FEE">
        <w:rPr>
          <w:rFonts w:ascii="Century Gothic" w:hAnsi="Century Gothic" w:cs="Arial"/>
          <w:sz w:val="22"/>
          <w:szCs w:val="22"/>
        </w:rPr>
        <w:t>).</w:t>
      </w:r>
    </w:p>
    <w:p w14:paraId="747D529F" w14:textId="77777777" w:rsidR="00CC5A81" w:rsidRPr="009B7FEE" w:rsidRDefault="00CC5A81" w:rsidP="00745B95">
      <w:pPr>
        <w:pStyle w:val="BodyText"/>
        <w:ind w:left="0"/>
        <w:rPr>
          <w:rFonts w:ascii="Century Gothic" w:hAnsi="Century Gothic" w:cs="Arial"/>
          <w:b/>
          <w:sz w:val="22"/>
          <w:szCs w:val="22"/>
        </w:rPr>
      </w:pPr>
    </w:p>
    <w:p w14:paraId="06D79247" w14:textId="72FE1975" w:rsidR="002F5133" w:rsidRPr="003D1FF5" w:rsidRDefault="00C65CAD" w:rsidP="00550598">
      <w:pPr>
        <w:pStyle w:val="BodyText"/>
        <w:ind w:left="360"/>
        <w:rPr>
          <w:rFonts w:ascii="Century Gothic" w:hAnsi="Century Gothic" w:cs="Arial"/>
          <w:i/>
          <w:sz w:val="22"/>
          <w:szCs w:val="22"/>
          <w:u w:val="single"/>
        </w:rPr>
      </w:pPr>
      <w:r w:rsidRPr="009B7FEE">
        <w:rPr>
          <w:rFonts w:ascii="Century Gothic" w:hAnsi="Century Gothic" w:cs="Arial"/>
          <w:i/>
          <w:sz w:val="22"/>
          <w:szCs w:val="22"/>
          <w:u w:val="single"/>
        </w:rPr>
        <w:t xml:space="preserve">The injection of fluids </w:t>
      </w:r>
      <w:r w:rsidR="007946DA" w:rsidRPr="009B7FEE">
        <w:rPr>
          <w:rFonts w:ascii="Century Gothic" w:hAnsi="Century Gothic" w:cs="Arial"/>
          <w:i/>
          <w:sz w:val="22"/>
          <w:szCs w:val="22"/>
          <w:u w:val="single"/>
        </w:rPr>
        <w:t xml:space="preserve">into the Proposal Area </w:t>
      </w:r>
      <w:r w:rsidRPr="009B7FEE">
        <w:rPr>
          <w:rFonts w:ascii="Century Gothic" w:hAnsi="Century Gothic" w:cs="Arial"/>
          <w:i/>
          <w:sz w:val="22"/>
          <w:szCs w:val="22"/>
          <w:u w:val="single"/>
        </w:rPr>
        <w:t>w</w:t>
      </w:r>
      <w:r w:rsidR="002F5133" w:rsidRPr="009B7FEE">
        <w:rPr>
          <w:rFonts w:ascii="Century Gothic" w:hAnsi="Century Gothic" w:cs="Arial"/>
          <w:i/>
          <w:sz w:val="22"/>
          <w:szCs w:val="22"/>
          <w:u w:val="single"/>
        </w:rPr>
        <w:t xml:space="preserve">ill </w:t>
      </w:r>
      <w:r w:rsidRPr="009B7FEE">
        <w:rPr>
          <w:rFonts w:ascii="Century Gothic" w:hAnsi="Century Gothic" w:cs="Arial"/>
          <w:i/>
          <w:sz w:val="22"/>
          <w:szCs w:val="22"/>
          <w:u w:val="single"/>
        </w:rPr>
        <w:t xml:space="preserve">not affect the quality of water that is, </w:t>
      </w:r>
      <w:r w:rsidRPr="003D1FF5">
        <w:rPr>
          <w:rFonts w:ascii="Century Gothic" w:hAnsi="Century Gothic" w:cs="Arial"/>
          <w:i/>
          <w:sz w:val="22"/>
          <w:szCs w:val="22"/>
          <w:u w:val="single"/>
        </w:rPr>
        <w:t>or may reasonably be, used for any beneficial use.</w:t>
      </w:r>
      <w:r w:rsidR="005E1016" w:rsidRPr="003D1FF5">
        <w:rPr>
          <w:rFonts w:ascii="Century Gothic" w:hAnsi="Century Gothic" w:cs="Arial"/>
          <w:i/>
          <w:sz w:val="22"/>
          <w:szCs w:val="22"/>
          <w:u w:val="single"/>
        </w:rPr>
        <w:t xml:space="preserve"> (</w:t>
      </w:r>
      <w:r w:rsidR="007C03FD" w:rsidRPr="003D1FF5">
        <w:rPr>
          <w:rFonts w:ascii="Century Gothic" w:hAnsi="Century Gothic" w:cs="Arial"/>
          <w:i/>
          <w:sz w:val="22"/>
          <w:szCs w:val="22"/>
          <w:u w:val="single"/>
        </w:rPr>
        <w:t>PRC</w:t>
      </w:r>
      <w:r w:rsidR="005E1016" w:rsidRPr="003D1FF5">
        <w:rPr>
          <w:rFonts w:ascii="Century Gothic" w:hAnsi="Century Gothic" w:cs="Arial"/>
          <w:i/>
          <w:sz w:val="22"/>
          <w:szCs w:val="22"/>
          <w:u w:val="single"/>
        </w:rPr>
        <w:t xml:space="preserve"> </w:t>
      </w:r>
      <w:r w:rsidR="002F5133" w:rsidRPr="003D1FF5">
        <w:rPr>
          <w:rFonts w:ascii="Century Gothic" w:hAnsi="Century Gothic" w:cs="Arial"/>
          <w:i/>
          <w:sz w:val="22"/>
          <w:szCs w:val="22"/>
          <w:u w:val="single"/>
        </w:rPr>
        <w:t>§</w:t>
      </w:r>
      <w:r w:rsidR="005E1016" w:rsidRPr="003D1FF5">
        <w:rPr>
          <w:rFonts w:ascii="Century Gothic" w:hAnsi="Century Gothic" w:cs="Arial"/>
          <w:i/>
          <w:sz w:val="22"/>
          <w:szCs w:val="22"/>
          <w:u w:val="single"/>
        </w:rPr>
        <w:t xml:space="preserve"> </w:t>
      </w:r>
      <w:r w:rsidR="002F5133" w:rsidRPr="003D1FF5">
        <w:rPr>
          <w:rFonts w:ascii="Century Gothic" w:hAnsi="Century Gothic" w:cs="Arial"/>
          <w:i/>
          <w:sz w:val="22"/>
          <w:szCs w:val="22"/>
          <w:u w:val="single"/>
        </w:rPr>
        <w:t>3131(a)(2)</w:t>
      </w:r>
      <w:r w:rsidR="005E1016" w:rsidRPr="003D1FF5">
        <w:rPr>
          <w:rFonts w:ascii="Century Gothic" w:hAnsi="Century Gothic" w:cs="Arial"/>
          <w:i/>
          <w:sz w:val="22"/>
          <w:szCs w:val="22"/>
          <w:u w:val="single"/>
        </w:rPr>
        <w:t>)</w:t>
      </w:r>
    </w:p>
    <w:p w14:paraId="78F6D89A" w14:textId="77777777" w:rsidR="007C03FD" w:rsidRPr="003D1FF5" w:rsidRDefault="007C03FD" w:rsidP="00745B95">
      <w:pPr>
        <w:pStyle w:val="BodyText"/>
        <w:ind w:left="0"/>
        <w:rPr>
          <w:rFonts w:ascii="Century Gothic" w:hAnsi="Century Gothic" w:cs="Arial"/>
          <w:i/>
          <w:sz w:val="22"/>
          <w:szCs w:val="22"/>
          <w:u w:val="single"/>
        </w:rPr>
      </w:pPr>
    </w:p>
    <w:p w14:paraId="0C8B1AEB" w14:textId="691A6B7A" w:rsidR="0092167D" w:rsidRDefault="58927E98" w:rsidP="00BF5BCB">
      <w:pPr>
        <w:pStyle w:val="BodyText"/>
        <w:ind w:left="0"/>
        <w:rPr>
          <w:rFonts w:ascii="Century Gothic" w:hAnsi="Century Gothic" w:cs="Arial"/>
          <w:sz w:val="22"/>
          <w:szCs w:val="22"/>
        </w:rPr>
      </w:pPr>
      <w:r w:rsidRPr="0D3AA61C">
        <w:rPr>
          <w:rFonts w:ascii="Century Gothic" w:hAnsi="Century Gothic" w:cs="Arial"/>
          <w:sz w:val="22"/>
          <w:szCs w:val="22"/>
        </w:rPr>
        <w:t>As per PRC section 3131(a)(2), inject</w:t>
      </w:r>
      <w:r w:rsidR="7589FD9E" w:rsidRPr="0D3AA61C">
        <w:rPr>
          <w:rFonts w:ascii="Century Gothic" w:hAnsi="Century Gothic" w:cs="Arial"/>
          <w:sz w:val="22"/>
          <w:szCs w:val="22"/>
        </w:rPr>
        <w:t>ion</w:t>
      </w:r>
      <w:r w:rsidRPr="0D3AA61C">
        <w:rPr>
          <w:rFonts w:ascii="Century Gothic" w:hAnsi="Century Gothic" w:cs="Arial"/>
          <w:sz w:val="22"/>
          <w:szCs w:val="22"/>
        </w:rPr>
        <w:t xml:space="preserve"> fluid</w:t>
      </w:r>
      <w:r w:rsidR="7589FD9E" w:rsidRPr="0D3AA61C">
        <w:rPr>
          <w:rFonts w:ascii="Century Gothic" w:hAnsi="Century Gothic" w:cs="Arial"/>
          <w:sz w:val="22"/>
          <w:szCs w:val="22"/>
        </w:rPr>
        <w:t>s are not expected to affect the quality of water that is</w:t>
      </w:r>
      <w:r w:rsidR="2E4AC854" w:rsidRPr="0D3AA61C">
        <w:rPr>
          <w:rFonts w:ascii="Century Gothic" w:hAnsi="Century Gothic" w:cs="Arial"/>
          <w:sz w:val="22"/>
          <w:szCs w:val="22"/>
        </w:rPr>
        <w:t>,</w:t>
      </w:r>
      <w:r w:rsidR="7589FD9E" w:rsidRPr="0D3AA61C">
        <w:rPr>
          <w:rFonts w:ascii="Century Gothic" w:hAnsi="Century Gothic" w:cs="Arial"/>
          <w:sz w:val="22"/>
          <w:szCs w:val="22"/>
        </w:rPr>
        <w:t xml:space="preserve"> or may reasonably be used for any beneficial use because </w:t>
      </w:r>
      <w:r w:rsidR="00CE1A84" w:rsidRPr="00CE1A84">
        <w:rPr>
          <w:rFonts w:ascii="Century Gothic" w:hAnsi="Century Gothic" w:cs="Arial"/>
          <w:sz w:val="22"/>
          <w:szCs w:val="22"/>
        </w:rPr>
        <w:t>(1) groundwater contained in the proposed exempted area contains petroleum hydrocarbons and/or elevated concentrations of other constituents such as TDS and boron at concentrations that limit its suitability for agricultural, domestic, and other beneficial use and the proposed exempted aquifer is a confined aquifer that is closed from surface recharge areas, and (2) the injected fluids are expected to remain within the proposed exempted area.</w:t>
      </w:r>
    </w:p>
    <w:p w14:paraId="43AAD1A8" w14:textId="77777777" w:rsidR="001374BD" w:rsidRPr="00F07066" w:rsidRDefault="001374BD" w:rsidP="0092167D">
      <w:pPr>
        <w:pStyle w:val="BodyText"/>
        <w:ind w:left="0"/>
        <w:rPr>
          <w:rFonts w:ascii="Century Gothic" w:hAnsi="Century Gothic" w:cs="Arial"/>
          <w:color w:val="FF0000"/>
          <w:sz w:val="22"/>
          <w:szCs w:val="22"/>
        </w:rPr>
      </w:pPr>
      <w:r w:rsidRPr="00F07066">
        <w:rPr>
          <w:rFonts w:ascii="Century Gothic" w:hAnsi="Century Gothic" w:cs="Arial"/>
          <w:color w:val="FF0000"/>
          <w:sz w:val="22"/>
          <w:szCs w:val="22"/>
        </w:rPr>
        <w:t> </w:t>
      </w:r>
    </w:p>
    <w:p w14:paraId="4DF88C94" w14:textId="034B7203" w:rsidR="00385EE6" w:rsidRPr="009B7FEE" w:rsidRDefault="002F5133" w:rsidP="00550598">
      <w:pPr>
        <w:pStyle w:val="BodyText"/>
        <w:ind w:left="360"/>
        <w:rPr>
          <w:rFonts w:ascii="Century Gothic" w:hAnsi="Century Gothic" w:cs="Arial"/>
          <w:i/>
          <w:sz w:val="22"/>
          <w:szCs w:val="22"/>
          <w:u w:val="single"/>
        </w:rPr>
      </w:pPr>
      <w:r w:rsidRPr="003D1FF5">
        <w:rPr>
          <w:rFonts w:ascii="Century Gothic" w:hAnsi="Century Gothic" w:cs="Arial"/>
          <w:i/>
          <w:sz w:val="22"/>
          <w:szCs w:val="22"/>
          <w:u w:val="single"/>
        </w:rPr>
        <w:t>The injected fluid</w:t>
      </w:r>
      <w:r w:rsidR="00D143F2" w:rsidRPr="003D1FF5">
        <w:rPr>
          <w:rFonts w:ascii="Century Gothic" w:hAnsi="Century Gothic" w:cs="Arial"/>
          <w:i/>
          <w:sz w:val="22"/>
          <w:szCs w:val="22"/>
          <w:u w:val="single"/>
        </w:rPr>
        <w:t xml:space="preserve"> </w:t>
      </w:r>
      <w:r w:rsidR="00C65CAD" w:rsidRPr="003D1FF5">
        <w:rPr>
          <w:rFonts w:ascii="Century Gothic" w:hAnsi="Century Gothic" w:cs="Arial"/>
          <w:i/>
          <w:sz w:val="22"/>
          <w:szCs w:val="22"/>
          <w:u w:val="single"/>
        </w:rPr>
        <w:t>will</w:t>
      </w:r>
      <w:r w:rsidR="00D143F2" w:rsidRPr="003D1FF5">
        <w:rPr>
          <w:rFonts w:ascii="Century Gothic" w:hAnsi="Century Gothic" w:cs="Arial"/>
          <w:i/>
          <w:sz w:val="22"/>
          <w:szCs w:val="22"/>
          <w:u w:val="single"/>
        </w:rPr>
        <w:t xml:space="preserve"> remain in the</w:t>
      </w:r>
      <w:r w:rsidR="007946DA" w:rsidRPr="003D1FF5">
        <w:rPr>
          <w:rFonts w:ascii="Century Gothic" w:hAnsi="Century Gothic" w:cs="Arial"/>
          <w:i/>
          <w:sz w:val="22"/>
          <w:szCs w:val="22"/>
          <w:u w:val="single"/>
        </w:rPr>
        <w:t xml:space="preserve"> </w:t>
      </w:r>
      <w:r w:rsidR="00393D05" w:rsidRPr="003D1FF5">
        <w:rPr>
          <w:rFonts w:ascii="Century Gothic" w:hAnsi="Century Gothic" w:cs="Arial"/>
          <w:i/>
          <w:sz w:val="22"/>
          <w:szCs w:val="22"/>
          <w:u w:val="single"/>
        </w:rPr>
        <w:t>aquifer or portion of the aquifer</w:t>
      </w:r>
      <w:r w:rsidR="007946DA" w:rsidRPr="003D1FF5">
        <w:rPr>
          <w:rFonts w:ascii="Century Gothic" w:hAnsi="Century Gothic" w:cs="Arial"/>
          <w:i/>
          <w:sz w:val="22"/>
          <w:szCs w:val="22"/>
          <w:u w:val="single"/>
        </w:rPr>
        <w:t xml:space="preserve"> that would be</w:t>
      </w:r>
      <w:r w:rsidR="00D143F2" w:rsidRPr="003D1FF5">
        <w:rPr>
          <w:rFonts w:ascii="Century Gothic" w:hAnsi="Century Gothic" w:cs="Arial"/>
          <w:i/>
          <w:sz w:val="22"/>
          <w:szCs w:val="22"/>
          <w:u w:val="single"/>
        </w:rPr>
        <w:t xml:space="preserve"> </w:t>
      </w:r>
      <w:r w:rsidR="007946DA" w:rsidRPr="003D1FF5">
        <w:rPr>
          <w:rFonts w:ascii="Century Gothic" w:hAnsi="Century Gothic" w:cs="Arial"/>
          <w:i/>
          <w:sz w:val="22"/>
          <w:szCs w:val="22"/>
          <w:u w:val="single"/>
        </w:rPr>
        <w:t>exempted</w:t>
      </w:r>
      <w:r w:rsidR="00C65CAD" w:rsidRPr="003D1FF5">
        <w:rPr>
          <w:rFonts w:ascii="Century Gothic" w:hAnsi="Century Gothic" w:cs="Arial"/>
          <w:i/>
          <w:sz w:val="22"/>
          <w:szCs w:val="22"/>
          <w:u w:val="single"/>
        </w:rPr>
        <w:t>.</w:t>
      </w:r>
      <w:r w:rsidRPr="003D1FF5">
        <w:rPr>
          <w:rFonts w:ascii="Century Gothic" w:hAnsi="Century Gothic" w:cs="Arial"/>
          <w:i/>
          <w:sz w:val="22"/>
          <w:szCs w:val="22"/>
          <w:u w:val="single"/>
        </w:rPr>
        <w:t xml:space="preserve"> </w:t>
      </w:r>
      <w:r w:rsidR="00745B95" w:rsidRPr="003D1FF5">
        <w:rPr>
          <w:rFonts w:ascii="Century Gothic" w:hAnsi="Century Gothic" w:cs="Arial"/>
          <w:i/>
          <w:sz w:val="22"/>
          <w:szCs w:val="22"/>
          <w:u w:val="single"/>
        </w:rPr>
        <w:t>(</w:t>
      </w:r>
      <w:r w:rsidR="007C03FD" w:rsidRPr="003D1FF5">
        <w:rPr>
          <w:rFonts w:ascii="Century Gothic" w:hAnsi="Century Gothic" w:cs="Arial"/>
          <w:i/>
          <w:sz w:val="22"/>
          <w:szCs w:val="22"/>
          <w:u w:val="single"/>
        </w:rPr>
        <w:t>PRC</w:t>
      </w:r>
      <w:r w:rsidR="00F16AA6" w:rsidRPr="003D1FF5">
        <w:rPr>
          <w:rFonts w:ascii="Century Gothic" w:hAnsi="Century Gothic" w:cs="Arial"/>
          <w:i/>
          <w:sz w:val="22"/>
          <w:szCs w:val="22"/>
          <w:u w:val="single"/>
        </w:rPr>
        <w:t xml:space="preserve"> §3131</w:t>
      </w:r>
      <w:r w:rsidR="00F16AA6" w:rsidRPr="009B7FEE">
        <w:rPr>
          <w:rFonts w:ascii="Century Gothic" w:hAnsi="Century Gothic" w:cs="Arial"/>
          <w:i/>
          <w:sz w:val="22"/>
          <w:szCs w:val="22"/>
          <w:u w:val="single"/>
        </w:rPr>
        <w:t>(a)(3)</w:t>
      </w:r>
      <w:r w:rsidR="00745B95" w:rsidRPr="009B7FEE">
        <w:rPr>
          <w:rFonts w:ascii="Century Gothic" w:hAnsi="Century Gothic" w:cs="Arial"/>
          <w:i/>
          <w:sz w:val="22"/>
          <w:szCs w:val="22"/>
          <w:u w:val="single"/>
        </w:rPr>
        <w:t>)</w:t>
      </w:r>
    </w:p>
    <w:p w14:paraId="2F28B9AD" w14:textId="77777777" w:rsidR="007C03FD" w:rsidRPr="009B7FEE" w:rsidRDefault="007C03FD" w:rsidP="00745B95">
      <w:pPr>
        <w:pStyle w:val="BodyText"/>
        <w:ind w:left="0"/>
        <w:rPr>
          <w:rFonts w:ascii="Century Gothic" w:hAnsi="Century Gothic" w:cs="Arial"/>
          <w:i/>
          <w:sz w:val="22"/>
          <w:szCs w:val="22"/>
          <w:u w:val="single"/>
        </w:rPr>
      </w:pPr>
    </w:p>
    <w:p w14:paraId="627B5F3D" w14:textId="224B4061" w:rsidR="0092519B" w:rsidRDefault="00BF34A3" w:rsidP="00BF34A3">
      <w:pPr>
        <w:pStyle w:val="BodyText"/>
        <w:ind w:left="0"/>
        <w:rPr>
          <w:rFonts w:ascii="Century Gothic" w:hAnsi="Century Gothic" w:cs="Arial"/>
          <w:sz w:val="22"/>
          <w:szCs w:val="22"/>
        </w:rPr>
      </w:pPr>
      <w:r w:rsidRPr="00C10755">
        <w:rPr>
          <w:rFonts w:ascii="Century Gothic" w:hAnsi="Century Gothic" w:cs="Arial"/>
          <w:sz w:val="22"/>
          <w:szCs w:val="22"/>
        </w:rPr>
        <w:t>The requirement of PRC section 3131(a)(3) is</w:t>
      </w:r>
      <w:r w:rsidRPr="330CB019">
        <w:rPr>
          <w:rFonts w:ascii="Century Gothic" w:hAnsi="Century Gothic" w:cs="Arial"/>
          <w:sz w:val="22"/>
          <w:szCs w:val="22"/>
        </w:rPr>
        <w:t xml:space="preserve"> </w:t>
      </w:r>
      <w:r w:rsidRPr="00C10755">
        <w:rPr>
          <w:rFonts w:ascii="Century Gothic" w:hAnsi="Century Gothic" w:cs="Arial"/>
          <w:sz w:val="22"/>
          <w:szCs w:val="22"/>
        </w:rPr>
        <w:t xml:space="preserve">satisfied as the injected fluids are expected to remain in the </w:t>
      </w:r>
      <w:r w:rsidRPr="330CB019">
        <w:rPr>
          <w:rFonts w:ascii="Century Gothic" w:hAnsi="Century Gothic" w:cs="Arial"/>
          <w:sz w:val="22"/>
          <w:szCs w:val="22"/>
        </w:rPr>
        <w:t>Propos</w:t>
      </w:r>
      <w:r w:rsidR="00D1745C">
        <w:rPr>
          <w:rFonts w:ascii="Century Gothic" w:hAnsi="Century Gothic" w:cs="Arial"/>
          <w:sz w:val="22"/>
          <w:szCs w:val="22"/>
        </w:rPr>
        <w:t>al</w:t>
      </w:r>
      <w:r w:rsidRPr="330CB019">
        <w:rPr>
          <w:rFonts w:ascii="Century Gothic" w:hAnsi="Century Gothic" w:cs="Arial"/>
          <w:sz w:val="22"/>
          <w:szCs w:val="22"/>
        </w:rPr>
        <w:t xml:space="preserve"> Area</w:t>
      </w:r>
      <w:r w:rsidRPr="00C10755">
        <w:rPr>
          <w:rFonts w:ascii="Century Gothic" w:hAnsi="Century Gothic" w:cs="Arial"/>
          <w:sz w:val="22"/>
          <w:szCs w:val="22"/>
        </w:rPr>
        <w:t xml:space="preserve"> due to a combination of </w:t>
      </w:r>
      <w:r w:rsidR="00302149" w:rsidRPr="00C10755">
        <w:rPr>
          <w:rFonts w:ascii="Century Gothic" w:hAnsi="Century Gothic" w:cs="Arial"/>
          <w:sz w:val="22"/>
          <w:szCs w:val="22"/>
        </w:rPr>
        <w:t>geological</w:t>
      </w:r>
      <w:r>
        <w:rPr>
          <w:rFonts w:ascii="Century Gothic" w:hAnsi="Century Gothic" w:cs="Arial"/>
          <w:sz w:val="22"/>
          <w:szCs w:val="22"/>
        </w:rPr>
        <w:t xml:space="preserve"> and engineering</w:t>
      </w:r>
      <w:r w:rsidRPr="00C10755">
        <w:rPr>
          <w:rFonts w:ascii="Century Gothic" w:hAnsi="Century Gothic" w:cs="Arial"/>
          <w:sz w:val="22"/>
          <w:szCs w:val="22"/>
        </w:rPr>
        <w:t xml:space="preserve"> conditions. </w:t>
      </w:r>
    </w:p>
    <w:p w14:paraId="010ED409" w14:textId="77777777" w:rsidR="0092519B" w:rsidRDefault="0092519B" w:rsidP="00BF34A3">
      <w:pPr>
        <w:pStyle w:val="BodyText"/>
        <w:ind w:left="0"/>
        <w:rPr>
          <w:rFonts w:ascii="Century Gothic" w:hAnsi="Century Gothic" w:cs="Arial"/>
          <w:sz w:val="22"/>
          <w:szCs w:val="22"/>
        </w:rPr>
      </w:pPr>
    </w:p>
    <w:p w14:paraId="0E99F41F" w14:textId="4DA3FB59" w:rsidR="00BF34A3" w:rsidRDefault="00BF34A3" w:rsidP="00BF34A3">
      <w:pPr>
        <w:pStyle w:val="BodyText"/>
        <w:ind w:left="0"/>
        <w:rPr>
          <w:rFonts w:ascii="Century Gothic" w:hAnsi="Century Gothic" w:cs="Arial"/>
          <w:sz w:val="22"/>
          <w:szCs w:val="22"/>
        </w:rPr>
      </w:pPr>
      <w:r w:rsidRPr="00C10755">
        <w:rPr>
          <w:rFonts w:ascii="Century Gothic" w:hAnsi="Century Gothic" w:cs="Arial"/>
          <w:sz w:val="22"/>
          <w:szCs w:val="22"/>
        </w:rPr>
        <w:t xml:space="preserve">Vertical containment </w:t>
      </w:r>
      <w:r>
        <w:rPr>
          <w:rFonts w:ascii="Century Gothic" w:hAnsi="Century Gothic" w:cs="Arial"/>
          <w:sz w:val="22"/>
          <w:szCs w:val="22"/>
        </w:rPr>
        <w:t>above</w:t>
      </w:r>
      <w:r w:rsidRPr="00C10755">
        <w:rPr>
          <w:rFonts w:ascii="Century Gothic" w:hAnsi="Century Gothic" w:cs="Arial"/>
          <w:sz w:val="22"/>
          <w:szCs w:val="22"/>
        </w:rPr>
        <w:t xml:space="preserve"> the </w:t>
      </w:r>
      <w:r>
        <w:rPr>
          <w:rFonts w:ascii="Century Gothic" w:hAnsi="Century Gothic" w:cs="Arial"/>
          <w:sz w:val="22"/>
          <w:szCs w:val="22"/>
        </w:rPr>
        <w:t>Tulare Oil Sand</w:t>
      </w:r>
      <w:r w:rsidRPr="00C10755">
        <w:rPr>
          <w:rFonts w:ascii="Century Gothic" w:hAnsi="Century Gothic" w:cs="Arial"/>
          <w:sz w:val="22"/>
          <w:szCs w:val="22"/>
        </w:rPr>
        <w:t xml:space="preserve"> is provided by </w:t>
      </w:r>
      <w:r>
        <w:rPr>
          <w:rFonts w:ascii="Century Gothic" w:hAnsi="Century Gothic" w:cs="Arial"/>
          <w:sz w:val="22"/>
          <w:szCs w:val="22"/>
        </w:rPr>
        <w:t>the</w:t>
      </w:r>
      <w:r w:rsidRPr="00C10755">
        <w:rPr>
          <w:rFonts w:ascii="Century Gothic" w:hAnsi="Century Gothic" w:cs="Arial"/>
          <w:sz w:val="22"/>
          <w:szCs w:val="22"/>
        </w:rPr>
        <w:t xml:space="preserve"> overlying low permeability </w:t>
      </w:r>
      <w:r>
        <w:rPr>
          <w:rFonts w:ascii="Century Gothic" w:hAnsi="Century Gothic" w:cs="Arial"/>
          <w:sz w:val="22"/>
          <w:szCs w:val="22"/>
        </w:rPr>
        <w:t>Tulare Clay</w:t>
      </w:r>
      <w:r w:rsidRPr="00C10755">
        <w:rPr>
          <w:rFonts w:ascii="Century Gothic" w:hAnsi="Century Gothic" w:cs="Arial"/>
          <w:sz w:val="22"/>
          <w:szCs w:val="22"/>
        </w:rPr>
        <w:t xml:space="preserve"> interval</w:t>
      </w:r>
      <w:r w:rsidR="00BB695B">
        <w:rPr>
          <w:rFonts w:ascii="Century Gothic" w:hAnsi="Century Gothic" w:cs="Arial"/>
          <w:sz w:val="22"/>
          <w:szCs w:val="22"/>
        </w:rPr>
        <w:t xml:space="preserve">, which is over 200 ft thick across the Proposal Area. </w:t>
      </w:r>
      <w:r w:rsidRPr="00C10755">
        <w:rPr>
          <w:rFonts w:ascii="Century Gothic" w:hAnsi="Century Gothic" w:cs="Arial"/>
          <w:sz w:val="22"/>
          <w:szCs w:val="22"/>
        </w:rPr>
        <w:t>Vertical containment in the downward direction is</w:t>
      </w:r>
      <w:r w:rsidR="005E2F33">
        <w:rPr>
          <w:rFonts w:ascii="Century Gothic" w:hAnsi="Century Gothic" w:cs="Arial"/>
          <w:sz w:val="22"/>
          <w:szCs w:val="22"/>
        </w:rPr>
        <w:t xml:space="preserve"> partially</w:t>
      </w:r>
      <w:r w:rsidRPr="00C10755">
        <w:rPr>
          <w:rFonts w:ascii="Century Gothic" w:hAnsi="Century Gothic" w:cs="Arial"/>
          <w:sz w:val="22"/>
          <w:szCs w:val="22"/>
        </w:rPr>
        <w:t xml:space="preserve"> controlled by</w:t>
      </w:r>
      <w:r w:rsidR="003D3FC9">
        <w:rPr>
          <w:rFonts w:ascii="Century Gothic" w:hAnsi="Century Gothic" w:cs="Arial"/>
          <w:sz w:val="22"/>
          <w:szCs w:val="22"/>
        </w:rPr>
        <w:t xml:space="preserve"> shales of the Monterey and Temblor Formation</w:t>
      </w:r>
      <w:r w:rsidR="005E2F33">
        <w:rPr>
          <w:rFonts w:ascii="Century Gothic" w:hAnsi="Century Gothic" w:cs="Arial"/>
          <w:sz w:val="22"/>
          <w:szCs w:val="22"/>
        </w:rPr>
        <w:t xml:space="preserve">. The Tulare Oil Sand is in hydraulic communication with the underlying marine sands of the Temblor and Kreyenhagen Formations. The 400 ft Kreyenhagen Formation Canoas Shale </w:t>
      </w:r>
      <w:r w:rsidR="003D3FC9">
        <w:rPr>
          <w:rFonts w:ascii="Century Gothic" w:hAnsi="Century Gothic" w:cs="Arial"/>
          <w:sz w:val="22"/>
          <w:szCs w:val="22"/>
        </w:rPr>
        <w:t>ultimately</w:t>
      </w:r>
      <w:r w:rsidRPr="00C10755">
        <w:rPr>
          <w:rFonts w:ascii="Century Gothic" w:hAnsi="Century Gothic" w:cs="Arial"/>
          <w:sz w:val="22"/>
          <w:szCs w:val="22"/>
        </w:rPr>
        <w:t xml:space="preserve"> </w:t>
      </w:r>
      <w:r w:rsidR="005E2F33">
        <w:rPr>
          <w:rFonts w:ascii="Century Gothic" w:hAnsi="Century Gothic" w:cs="Arial"/>
          <w:sz w:val="22"/>
          <w:szCs w:val="22"/>
        </w:rPr>
        <w:t xml:space="preserve">provides lower confinement across the Proposal Area. </w:t>
      </w:r>
      <w:r w:rsidRPr="00416C98">
        <w:rPr>
          <w:rFonts w:ascii="Century Gothic" w:hAnsi="Century Gothic" w:cs="Arial"/>
          <w:sz w:val="22"/>
          <w:szCs w:val="22"/>
        </w:rPr>
        <w:t xml:space="preserve">Lateral containment in the </w:t>
      </w:r>
      <w:r w:rsidR="00D1745C">
        <w:rPr>
          <w:rFonts w:ascii="Century Gothic" w:hAnsi="Century Gothic" w:cs="Arial"/>
          <w:sz w:val="22"/>
          <w:szCs w:val="22"/>
        </w:rPr>
        <w:t>Proposal Area</w:t>
      </w:r>
      <w:r w:rsidRPr="00416C98">
        <w:rPr>
          <w:rFonts w:ascii="Century Gothic" w:hAnsi="Century Gothic" w:cs="Arial"/>
          <w:sz w:val="22"/>
          <w:szCs w:val="22"/>
        </w:rPr>
        <w:t xml:space="preserve"> is provided by </w:t>
      </w:r>
      <w:r w:rsidR="0007147D">
        <w:rPr>
          <w:rFonts w:ascii="Century Gothic" w:hAnsi="Century Gothic" w:cs="Arial"/>
          <w:sz w:val="22"/>
          <w:szCs w:val="22"/>
        </w:rPr>
        <w:t xml:space="preserve">pinchouts to the north, south, and east and </w:t>
      </w:r>
      <w:r w:rsidR="0007147D" w:rsidRPr="00416C98">
        <w:rPr>
          <w:rFonts w:ascii="Century Gothic" w:hAnsi="Century Gothic" w:cs="Arial"/>
          <w:sz w:val="22"/>
          <w:szCs w:val="22"/>
        </w:rPr>
        <w:t>a com</w:t>
      </w:r>
      <w:r w:rsidR="0007147D">
        <w:rPr>
          <w:rFonts w:ascii="Century Gothic" w:hAnsi="Century Gothic" w:cs="Arial"/>
          <w:sz w:val="22"/>
          <w:szCs w:val="22"/>
        </w:rPr>
        <w:t xml:space="preserve">bination of </w:t>
      </w:r>
      <w:r>
        <w:rPr>
          <w:rFonts w:ascii="Century Gothic" w:hAnsi="Century Gothic" w:cs="Arial"/>
          <w:sz w:val="22"/>
          <w:szCs w:val="22"/>
        </w:rPr>
        <w:t xml:space="preserve">sealing faults </w:t>
      </w:r>
      <w:r w:rsidR="002757F8">
        <w:rPr>
          <w:rFonts w:ascii="Century Gothic" w:hAnsi="Century Gothic" w:cs="Arial"/>
          <w:sz w:val="22"/>
          <w:szCs w:val="22"/>
        </w:rPr>
        <w:t xml:space="preserve">and pinchouts </w:t>
      </w:r>
      <w:r>
        <w:rPr>
          <w:rFonts w:ascii="Century Gothic" w:hAnsi="Century Gothic" w:cs="Arial"/>
          <w:sz w:val="22"/>
          <w:szCs w:val="22"/>
        </w:rPr>
        <w:t xml:space="preserve">to the west, which will </w:t>
      </w:r>
      <w:r w:rsidRPr="00416C98">
        <w:rPr>
          <w:rFonts w:ascii="Century Gothic" w:hAnsi="Century Gothic" w:cs="Arial"/>
          <w:sz w:val="22"/>
          <w:szCs w:val="22"/>
        </w:rPr>
        <w:t>provide isolation of inject</w:t>
      </w:r>
      <w:r>
        <w:rPr>
          <w:rFonts w:ascii="Century Gothic" w:hAnsi="Century Gothic" w:cs="Arial"/>
          <w:sz w:val="22"/>
          <w:szCs w:val="22"/>
        </w:rPr>
        <w:t>ed</w:t>
      </w:r>
      <w:r w:rsidRPr="00416C98">
        <w:rPr>
          <w:rFonts w:ascii="Century Gothic" w:hAnsi="Century Gothic" w:cs="Arial"/>
          <w:sz w:val="22"/>
          <w:szCs w:val="22"/>
        </w:rPr>
        <w:t xml:space="preserve"> fluids. </w:t>
      </w:r>
    </w:p>
    <w:p w14:paraId="321FD297" w14:textId="77777777" w:rsidR="00BF34A3" w:rsidRPr="00416C98" w:rsidRDefault="00BF34A3" w:rsidP="00BF34A3">
      <w:pPr>
        <w:pStyle w:val="BodyText"/>
        <w:ind w:left="0"/>
        <w:rPr>
          <w:rFonts w:ascii="Century Gothic" w:hAnsi="Century Gothic" w:cs="Arial"/>
          <w:sz w:val="22"/>
          <w:szCs w:val="22"/>
        </w:rPr>
      </w:pPr>
    </w:p>
    <w:p w14:paraId="44F86869" w14:textId="41DCDB85" w:rsidR="00CE19BE" w:rsidRDefault="00AC498A" w:rsidP="00745B95">
      <w:pPr>
        <w:pStyle w:val="BodyText"/>
        <w:ind w:left="0"/>
        <w:rPr>
          <w:rFonts w:ascii="Century Gothic" w:hAnsi="Century Gothic" w:cs="Arial"/>
          <w:sz w:val="22"/>
          <w:szCs w:val="22"/>
        </w:rPr>
      </w:pPr>
      <w:r>
        <w:rPr>
          <w:rFonts w:ascii="Century Gothic" w:hAnsi="Century Gothic" w:cs="Arial"/>
          <w:sz w:val="22"/>
          <w:szCs w:val="22"/>
        </w:rPr>
        <w:t>Consistent with PRC section 3131(a)(3)</w:t>
      </w:r>
      <w:r w:rsidR="00A96218">
        <w:rPr>
          <w:rFonts w:ascii="Century Gothic" w:hAnsi="Century Gothic" w:cs="Arial"/>
          <w:sz w:val="22"/>
          <w:szCs w:val="22"/>
        </w:rPr>
        <w:t xml:space="preserve"> and 3131(c)</w:t>
      </w:r>
      <w:r>
        <w:rPr>
          <w:rFonts w:ascii="Century Gothic" w:hAnsi="Century Gothic" w:cs="Arial"/>
          <w:sz w:val="22"/>
          <w:szCs w:val="22"/>
        </w:rPr>
        <w:t>, a conduit analysis review was conducted to evaluate the potential for fluid migration outside the Propos</w:t>
      </w:r>
      <w:r w:rsidR="00D1745C">
        <w:rPr>
          <w:rFonts w:ascii="Century Gothic" w:hAnsi="Century Gothic" w:cs="Arial"/>
          <w:sz w:val="22"/>
          <w:szCs w:val="22"/>
        </w:rPr>
        <w:t>al</w:t>
      </w:r>
      <w:r>
        <w:rPr>
          <w:rFonts w:ascii="Century Gothic" w:hAnsi="Century Gothic" w:cs="Arial"/>
          <w:sz w:val="22"/>
          <w:szCs w:val="22"/>
        </w:rPr>
        <w:t xml:space="preserve"> Area into overlying beneficial use aquifers.</w:t>
      </w:r>
      <w:r w:rsidR="00F8254E">
        <w:rPr>
          <w:rFonts w:ascii="Century Gothic" w:hAnsi="Century Gothic" w:cs="Arial"/>
          <w:sz w:val="22"/>
          <w:szCs w:val="22"/>
        </w:rPr>
        <w:t xml:space="preserve"> </w:t>
      </w:r>
      <w:r>
        <w:rPr>
          <w:rFonts w:ascii="Century Gothic" w:hAnsi="Century Gothic" w:cs="Arial"/>
          <w:sz w:val="22"/>
          <w:szCs w:val="22"/>
        </w:rPr>
        <w:t xml:space="preserve">The review evaluated all </w:t>
      </w:r>
      <w:r w:rsidR="00652601">
        <w:rPr>
          <w:rFonts w:ascii="Century Gothic" w:hAnsi="Century Gothic" w:cs="Arial"/>
          <w:sz w:val="22"/>
          <w:szCs w:val="22"/>
        </w:rPr>
        <w:t xml:space="preserve">active, </w:t>
      </w:r>
      <w:r>
        <w:rPr>
          <w:rFonts w:ascii="Century Gothic" w:hAnsi="Century Gothic" w:cs="Arial"/>
          <w:sz w:val="22"/>
          <w:szCs w:val="22"/>
        </w:rPr>
        <w:t>idle</w:t>
      </w:r>
      <w:r w:rsidR="00652601">
        <w:rPr>
          <w:rFonts w:ascii="Century Gothic" w:hAnsi="Century Gothic" w:cs="Arial"/>
          <w:sz w:val="22"/>
          <w:szCs w:val="22"/>
        </w:rPr>
        <w:t>,</w:t>
      </w:r>
      <w:r>
        <w:rPr>
          <w:rFonts w:ascii="Century Gothic" w:hAnsi="Century Gothic" w:cs="Arial"/>
          <w:sz w:val="22"/>
          <w:szCs w:val="22"/>
        </w:rPr>
        <w:t xml:space="preserve"> and plugged and abandoned wells within the Propos</w:t>
      </w:r>
      <w:r w:rsidR="00D1745C">
        <w:rPr>
          <w:rFonts w:ascii="Century Gothic" w:hAnsi="Century Gothic" w:cs="Arial"/>
          <w:sz w:val="22"/>
          <w:szCs w:val="22"/>
        </w:rPr>
        <w:t>al</w:t>
      </w:r>
      <w:r>
        <w:rPr>
          <w:rFonts w:ascii="Century Gothic" w:hAnsi="Century Gothic" w:cs="Arial"/>
          <w:sz w:val="22"/>
          <w:szCs w:val="22"/>
        </w:rPr>
        <w:t xml:space="preserve"> Area to ensure that injected fluid will remain in the portion of the aquifer that would be exempted.</w:t>
      </w:r>
      <w:r w:rsidR="00F8254E">
        <w:rPr>
          <w:rFonts w:ascii="Century Gothic" w:hAnsi="Century Gothic" w:cs="Arial"/>
          <w:sz w:val="22"/>
          <w:szCs w:val="22"/>
        </w:rPr>
        <w:t xml:space="preserve"> </w:t>
      </w:r>
    </w:p>
    <w:p w14:paraId="5719D77E" w14:textId="77777777" w:rsidR="00CE19BE" w:rsidRDefault="00CE19BE" w:rsidP="00745B95">
      <w:pPr>
        <w:pStyle w:val="BodyText"/>
        <w:ind w:left="0"/>
        <w:rPr>
          <w:rFonts w:ascii="Century Gothic" w:hAnsi="Century Gothic" w:cs="Arial"/>
          <w:sz w:val="22"/>
          <w:szCs w:val="22"/>
        </w:rPr>
      </w:pPr>
    </w:p>
    <w:p w14:paraId="539BE63A" w14:textId="18C18CA4" w:rsidR="00AC498A" w:rsidRDefault="00AC498A" w:rsidP="00745B95">
      <w:pPr>
        <w:pStyle w:val="BodyText"/>
        <w:ind w:left="0"/>
        <w:rPr>
          <w:rFonts w:ascii="Century Gothic" w:hAnsi="Century Gothic" w:cs="Arial"/>
          <w:sz w:val="22"/>
          <w:szCs w:val="22"/>
        </w:rPr>
      </w:pPr>
      <w:r>
        <w:rPr>
          <w:rFonts w:ascii="Century Gothic" w:hAnsi="Century Gothic" w:cs="Arial"/>
          <w:sz w:val="22"/>
          <w:szCs w:val="22"/>
        </w:rPr>
        <w:t>In 2</w:t>
      </w:r>
      <w:r w:rsidR="00E97748">
        <w:rPr>
          <w:rFonts w:ascii="Century Gothic" w:hAnsi="Century Gothic" w:cs="Arial"/>
          <w:sz w:val="22"/>
          <w:szCs w:val="22"/>
        </w:rPr>
        <w:t>025</w:t>
      </w:r>
      <w:r>
        <w:rPr>
          <w:rFonts w:ascii="Century Gothic" w:hAnsi="Century Gothic" w:cs="Arial"/>
          <w:sz w:val="22"/>
          <w:szCs w:val="22"/>
        </w:rPr>
        <w:t xml:space="preserve">, the Operator submitted wellbore diagrams and well integrity information to CalGEM and Water Boards staff for all </w:t>
      </w:r>
      <w:r w:rsidR="00652601">
        <w:rPr>
          <w:rFonts w:ascii="Century Gothic" w:hAnsi="Century Gothic" w:cs="Arial"/>
          <w:sz w:val="22"/>
          <w:szCs w:val="22"/>
        </w:rPr>
        <w:t xml:space="preserve">active, </w:t>
      </w:r>
      <w:r>
        <w:rPr>
          <w:rFonts w:ascii="Century Gothic" w:hAnsi="Century Gothic" w:cs="Arial"/>
          <w:sz w:val="22"/>
          <w:szCs w:val="22"/>
        </w:rPr>
        <w:t>idle</w:t>
      </w:r>
      <w:r w:rsidR="00652601">
        <w:rPr>
          <w:rFonts w:ascii="Century Gothic" w:hAnsi="Century Gothic" w:cs="Arial"/>
          <w:sz w:val="22"/>
          <w:szCs w:val="22"/>
        </w:rPr>
        <w:t>,</w:t>
      </w:r>
      <w:r>
        <w:rPr>
          <w:rFonts w:ascii="Century Gothic" w:hAnsi="Century Gothic" w:cs="Arial"/>
          <w:sz w:val="22"/>
          <w:szCs w:val="22"/>
        </w:rPr>
        <w:t xml:space="preserve"> and </w:t>
      </w:r>
      <w:r w:rsidR="00E97748">
        <w:rPr>
          <w:rFonts w:ascii="Century Gothic" w:hAnsi="Century Gothic" w:cs="Arial"/>
          <w:sz w:val="22"/>
          <w:szCs w:val="22"/>
        </w:rPr>
        <w:t xml:space="preserve">plugged and </w:t>
      </w:r>
      <w:r>
        <w:rPr>
          <w:rFonts w:ascii="Century Gothic" w:hAnsi="Century Gothic" w:cs="Arial"/>
          <w:sz w:val="22"/>
          <w:szCs w:val="22"/>
        </w:rPr>
        <w:t>abandoned wells located in the Propos</w:t>
      </w:r>
      <w:r w:rsidR="00D1745C">
        <w:rPr>
          <w:rFonts w:ascii="Century Gothic" w:hAnsi="Century Gothic" w:cs="Arial"/>
          <w:sz w:val="22"/>
          <w:szCs w:val="22"/>
        </w:rPr>
        <w:t>al</w:t>
      </w:r>
      <w:r>
        <w:rPr>
          <w:rFonts w:ascii="Century Gothic" w:hAnsi="Century Gothic" w:cs="Arial"/>
          <w:sz w:val="22"/>
          <w:szCs w:val="22"/>
        </w:rPr>
        <w:t xml:space="preserve"> Area.</w:t>
      </w:r>
      <w:r w:rsidR="00F8254E">
        <w:rPr>
          <w:rFonts w:ascii="Century Gothic" w:hAnsi="Century Gothic" w:cs="Arial"/>
          <w:sz w:val="22"/>
          <w:szCs w:val="22"/>
        </w:rPr>
        <w:t xml:space="preserve"> </w:t>
      </w:r>
      <w:r>
        <w:rPr>
          <w:rFonts w:ascii="Century Gothic" w:hAnsi="Century Gothic" w:cs="Arial"/>
          <w:sz w:val="22"/>
          <w:szCs w:val="22"/>
        </w:rPr>
        <w:t>Water Board</w:t>
      </w:r>
      <w:r w:rsidR="00D1745C">
        <w:rPr>
          <w:rFonts w:ascii="Century Gothic" w:hAnsi="Century Gothic" w:cs="Arial"/>
          <w:sz w:val="22"/>
          <w:szCs w:val="22"/>
        </w:rPr>
        <w:t>s</w:t>
      </w:r>
      <w:r>
        <w:rPr>
          <w:rFonts w:ascii="Century Gothic" w:hAnsi="Century Gothic" w:cs="Arial"/>
          <w:sz w:val="22"/>
          <w:szCs w:val="22"/>
        </w:rPr>
        <w:t xml:space="preserve"> and CalGEM staff identified </w:t>
      </w:r>
      <w:r w:rsidR="00E97748">
        <w:rPr>
          <w:rFonts w:ascii="Century Gothic" w:hAnsi="Century Gothic" w:cs="Arial"/>
          <w:sz w:val="22"/>
          <w:szCs w:val="22"/>
        </w:rPr>
        <w:t>4</w:t>
      </w:r>
      <w:r w:rsidR="00652601">
        <w:rPr>
          <w:rFonts w:ascii="Century Gothic" w:hAnsi="Century Gothic" w:cs="Arial"/>
          <w:sz w:val="22"/>
          <w:szCs w:val="22"/>
        </w:rPr>
        <w:t>5</w:t>
      </w:r>
      <w:r>
        <w:rPr>
          <w:rFonts w:ascii="Century Gothic" w:hAnsi="Century Gothic" w:cs="Arial"/>
          <w:sz w:val="22"/>
          <w:szCs w:val="22"/>
        </w:rPr>
        <w:t xml:space="preserve"> potential conduit wells.</w:t>
      </w:r>
      <w:r w:rsidR="00F8254E">
        <w:rPr>
          <w:rFonts w:ascii="Century Gothic" w:hAnsi="Century Gothic" w:cs="Arial"/>
          <w:sz w:val="22"/>
          <w:szCs w:val="22"/>
        </w:rPr>
        <w:t xml:space="preserve"> </w:t>
      </w:r>
      <w:r>
        <w:rPr>
          <w:rFonts w:ascii="Century Gothic" w:hAnsi="Century Gothic" w:cs="Arial"/>
          <w:sz w:val="22"/>
          <w:szCs w:val="22"/>
        </w:rPr>
        <w:t xml:space="preserve">The Operator submitted </w:t>
      </w:r>
      <w:r w:rsidR="00E97748">
        <w:rPr>
          <w:rFonts w:ascii="Century Gothic" w:hAnsi="Century Gothic" w:cs="Arial"/>
          <w:sz w:val="22"/>
          <w:szCs w:val="22"/>
        </w:rPr>
        <w:t>a Conduit Analysis Monitoring and Remediation Plan</w:t>
      </w:r>
      <w:r>
        <w:rPr>
          <w:rFonts w:ascii="Century Gothic" w:hAnsi="Century Gothic" w:cs="Arial"/>
          <w:sz w:val="22"/>
          <w:szCs w:val="22"/>
        </w:rPr>
        <w:t xml:space="preserve"> in </w:t>
      </w:r>
      <w:r w:rsidR="00E97748">
        <w:rPr>
          <w:rFonts w:ascii="Century Gothic" w:hAnsi="Century Gothic" w:cs="Arial"/>
          <w:sz w:val="22"/>
          <w:szCs w:val="22"/>
        </w:rPr>
        <w:t>2026</w:t>
      </w:r>
      <w:r w:rsidR="00BF2570">
        <w:rPr>
          <w:rFonts w:ascii="Century Gothic" w:hAnsi="Century Gothic" w:cs="Arial"/>
          <w:sz w:val="22"/>
          <w:szCs w:val="22"/>
        </w:rPr>
        <w:t xml:space="preserve"> to address the 4</w:t>
      </w:r>
      <w:r w:rsidR="00652601">
        <w:rPr>
          <w:rFonts w:ascii="Century Gothic" w:hAnsi="Century Gothic" w:cs="Arial"/>
          <w:sz w:val="22"/>
          <w:szCs w:val="22"/>
        </w:rPr>
        <w:t>5</w:t>
      </w:r>
      <w:r w:rsidR="00BF2570">
        <w:rPr>
          <w:rFonts w:ascii="Century Gothic" w:hAnsi="Century Gothic" w:cs="Arial"/>
          <w:sz w:val="22"/>
          <w:szCs w:val="22"/>
        </w:rPr>
        <w:t xml:space="preserve"> potential conduit wells.</w:t>
      </w:r>
      <w:r w:rsidR="00293329">
        <w:rPr>
          <w:rFonts w:ascii="Century Gothic" w:hAnsi="Century Gothic" w:cs="Arial"/>
          <w:sz w:val="22"/>
          <w:szCs w:val="22"/>
        </w:rPr>
        <w:t xml:space="preserve"> </w:t>
      </w:r>
      <w:r w:rsidR="00BB77F7">
        <w:rPr>
          <w:rFonts w:ascii="Century Gothic" w:hAnsi="Century Gothic" w:cs="Arial"/>
          <w:sz w:val="22"/>
          <w:szCs w:val="22"/>
        </w:rPr>
        <w:t xml:space="preserve">CalGEM and Water Boards approved </w:t>
      </w:r>
      <w:r w:rsidR="00EC78DE">
        <w:rPr>
          <w:rFonts w:ascii="Century Gothic" w:hAnsi="Century Gothic" w:cs="Arial"/>
          <w:sz w:val="22"/>
          <w:szCs w:val="22"/>
        </w:rPr>
        <w:t xml:space="preserve">the </w:t>
      </w:r>
      <w:r w:rsidR="001A5FA5">
        <w:rPr>
          <w:rFonts w:ascii="Century Gothic" w:hAnsi="Century Gothic" w:cs="Arial"/>
          <w:sz w:val="22"/>
          <w:szCs w:val="22"/>
        </w:rPr>
        <w:t xml:space="preserve">Operator’s </w:t>
      </w:r>
      <w:r w:rsidR="00A52971">
        <w:rPr>
          <w:rFonts w:ascii="Century Gothic" w:hAnsi="Century Gothic" w:cs="Arial"/>
          <w:sz w:val="22"/>
          <w:szCs w:val="22"/>
        </w:rPr>
        <w:t xml:space="preserve">Conduit Analysis Monitoring and Remediation Plan on </w:t>
      </w:r>
      <w:r w:rsidR="00036372">
        <w:rPr>
          <w:rFonts w:ascii="Century Gothic" w:hAnsi="Century Gothic" w:cs="Arial"/>
          <w:sz w:val="22"/>
          <w:szCs w:val="22"/>
        </w:rPr>
        <w:t>February 12, 2026.</w:t>
      </w:r>
    </w:p>
    <w:p w14:paraId="5CB54B8B" w14:textId="77777777" w:rsidR="002304E5" w:rsidRPr="00652601" w:rsidRDefault="002304E5" w:rsidP="00745B95">
      <w:pPr>
        <w:pStyle w:val="BodyText"/>
        <w:ind w:left="0"/>
        <w:rPr>
          <w:rFonts w:ascii="Century Gothic" w:hAnsi="Century Gothic" w:cs="Arial"/>
          <w:sz w:val="22"/>
          <w:szCs w:val="22"/>
          <w:highlight w:val="yellow"/>
        </w:rPr>
      </w:pPr>
    </w:p>
    <w:p w14:paraId="51ECDB32" w14:textId="405B5637" w:rsidR="008166D4" w:rsidRPr="00594C71" w:rsidRDefault="008166D4" w:rsidP="00594C71">
      <w:pPr>
        <w:pStyle w:val="Heading2"/>
        <w:rPr>
          <w:rFonts w:ascii="Century Gothic" w:hAnsi="Century Gothic" w:cs="Arial"/>
          <w:b/>
          <w:bCs/>
          <w:color w:val="auto"/>
          <w:sz w:val="22"/>
          <w:szCs w:val="18"/>
        </w:rPr>
      </w:pPr>
      <w:r w:rsidRPr="00594C71">
        <w:rPr>
          <w:rFonts w:ascii="Century Gothic" w:hAnsi="Century Gothic" w:cs="Arial"/>
          <w:b/>
          <w:bCs/>
          <w:color w:val="auto"/>
          <w:sz w:val="22"/>
          <w:szCs w:val="18"/>
        </w:rPr>
        <w:t>Project-Level Limitations and Conditions</w:t>
      </w:r>
    </w:p>
    <w:p w14:paraId="6634BC20" w14:textId="64E1DE1E" w:rsidR="00DC26D9" w:rsidRPr="00DC26D9" w:rsidRDefault="00DC26D9" w:rsidP="00882A98">
      <w:pPr>
        <w:widowControl/>
        <w:autoSpaceDE w:val="0"/>
        <w:autoSpaceDN w:val="0"/>
        <w:adjustRightInd w:val="0"/>
        <w:rPr>
          <w:rFonts w:ascii="Century Gothic" w:hAnsi="Century Gothic" w:cs="Arial"/>
        </w:rPr>
      </w:pPr>
      <w:r w:rsidRPr="00DC26D9">
        <w:rPr>
          <w:rFonts w:ascii="Century Gothic" w:hAnsi="Century Gothic" w:cs="Arial"/>
        </w:rPr>
        <w:t xml:space="preserve"> </w:t>
      </w:r>
    </w:p>
    <w:p w14:paraId="738D19AF" w14:textId="77EF3517" w:rsidR="00DC26D9" w:rsidRPr="00DC26D9" w:rsidRDefault="00DC26D9" w:rsidP="00DC26D9">
      <w:pPr>
        <w:widowControl/>
        <w:autoSpaceDE w:val="0"/>
        <w:autoSpaceDN w:val="0"/>
        <w:adjustRightInd w:val="0"/>
        <w:rPr>
          <w:rFonts w:ascii="Century Gothic" w:hAnsi="Century Gothic" w:cs="Arial"/>
        </w:rPr>
      </w:pPr>
      <w:r w:rsidRPr="0038713A">
        <w:rPr>
          <w:rFonts w:ascii="Century Gothic" w:hAnsi="Century Gothic" w:cs="Arial"/>
        </w:rPr>
        <w:t>Approval</w:t>
      </w:r>
      <w:r w:rsidRPr="00DC26D9">
        <w:rPr>
          <w:rFonts w:ascii="Century Gothic" w:hAnsi="Century Gothic" w:cs="Arial"/>
        </w:rPr>
        <w:t xml:space="preserve"> of Class II </w:t>
      </w:r>
      <w:r w:rsidR="00D1745C">
        <w:rPr>
          <w:rFonts w:ascii="Century Gothic" w:hAnsi="Century Gothic" w:cs="Arial"/>
        </w:rPr>
        <w:t>underground injection control (</w:t>
      </w:r>
      <w:r w:rsidRPr="00DC26D9">
        <w:rPr>
          <w:rFonts w:ascii="Century Gothic" w:hAnsi="Century Gothic" w:cs="Arial"/>
        </w:rPr>
        <w:t>UIC</w:t>
      </w:r>
      <w:r w:rsidR="00D1745C">
        <w:rPr>
          <w:rFonts w:ascii="Century Gothic" w:hAnsi="Century Gothic" w:cs="Arial"/>
        </w:rPr>
        <w:t>)</w:t>
      </w:r>
      <w:r w:rsidRPr="00DC26D9">
        <w:rPr>
          <w:rFonts w:ascii="Century Gothic" w:hAnsi="Century Gothic" w:cs="Arial"/>
        </w:rPr>
        <w:t xml:space="preserve"> projects </w:t>
      </w:r>
      <w:proofErr w:type="gramStart"/>
      <w:r w:rsidRPr="00DC26D9">
        <w:rPr>
          <w:rFonts w:ascii="Century Gothic" w:hAnsi="Century Gothic" w:cs="Arial"/>
        </w:rPr>
        <w:t>involve</w:t>
      </w:r>
      <w:proofErr w:type="gramEnd"/>
      <w:r w:rsidRPr="00DC26D9">
        <w:rPr>
          <w:rFonts w:ascii="Century Gothic" w:hAnsi="Century Gothic" w:cs="Arial"/>
        </w:rPr>
        <w:t xml:space="preserve"> a joint review by CalGEM and </w:t>
      </w:r>
      <w:r w:rsidR="003F4C4E">
        <w:rPr>
          <w:rFonts w:ascii="Century Gothic" w:hAnsi="Century Gothic" w:cs="Arial"/>
        </w:rPr>
        <w:t xml:space="preserve">the </w:t>
      </w:r>
      <w:r w:rsidRPr="00DC26D9">
        <w:rPr>
          <w:rFonts w:ascii="Century Gothic" w:hAnsi="Century Gothic" w:cs="Arial"/>
        </w:rPr>
        <w:t>Water Boards</w:t>
      </w:r>
      <w:r w:rsidR="003F4C4E">
        <w:rPr>
          <w:rFonts w:ascii="Century Gothic" w:hAnsi="Century Gothic" w:cs="Arial"/>
        </w:rPr>
        <w:t xml:space="preserve"> </w:t>
      </w:r>
      <w:r w:rsidRPr="00DC26D9">
        <w:rPr>
          <w:rFonts w:ascii="Century Gothic" w:hAnsi="Century Gothic" w:cs="Arial"/>
        </w:rPr>
        <w:t>staff.</w:t>
      </w:r>
      <w:r w:rsidR="00F8254E">
        <w:rPr>
          <w:rFonts w:ascii="Century Gothic" w:hAnsi="Century Gothic" w:cs="Arial"/>
        </w:rPr>
        <w:t xml:space="preserve"> </w:t>
      </w:r>
      <w:r w:rsidRPr="00DC26D9">
        <w:rPr>
          <w:rFonts w:ascii="Century Gothic" w:hAnsi="Century Gothic" w:cs="Arial"/>
        </w:rPr>
        <w:t xml:space="preserve">CalGEM and </w:t>
      </w:r>
      <w:r w:rsidR="003F4C4E">
        <w:rPr>
          <w:rFonts w:ascii="Century Gothic" w:hAnsi="Century Gothic" w:cs="Arial"/>
        </w:rPr>
        <w:t xml:space="preserve">the </w:t>
      </w:r>
      <w:r w:rsidRPr="00DC26D9">
        <w:rPr>
          <w:rFonts w:ascii="Century Gothic" w:hAnsi="Century Gothic" w:cs="Arial"/>
        </w:rPr>
        <w:t xml:space="preserve">Water Boards staff </w:t>
      </w:r>
      <w:r w:rsidR="00F157FE">
        <w:rPr>
          <w:rFonts w:ascii="Century Gothic" w:hAnsi="Century Gothic" w:cs="Arial"/>
        </w:rPr>
        <w:t xml:space="preserve">shall require monitoring or remediation of potential conduit wells within the </w:t>
      </w:r>
      <w:r w:rsidR="00D1745C">
        <w:rPr>
          <w:rFonts w:ascii="Century Gothic" w:hAnsi="Century Gothic" w:cs="Arial"/>
        </w:rPr>
        <w:t>Proposal Area</w:t>
      </w:r>
      <w:r w:rsidR="00F157FE">
        <w:rPr>
          <w:rFonts w:ascii="Century Gothic" w:hAnsi="Century Gothic" w:cs="Arial"/>
        </w:rPr>
        <w:t xml:space="preserve"> as outlined in the Conduit Remediation and Monitoring Plan dated January 29, 2026.</w:t>
      </w:r>
      <w:r w:rsidR="00F8254E">
        <w:rPr>
          <w:rFonts w:ascii="Century Gothic" w:hAnsi="Century Gothic" w:cs="Arial"/>
        </w:rPr>
        <w:t xml:space="preserve"> </w:t>
      </w:r>
      <w:r w:rsidR="00F157FE">
        <w:rPr>
          <w:rFonts w:ascii="Century Gothic" w:hAnsi="Century Gothic" w:cs="Arial"/>
        </w:rPr>
        <w:t>CalGEM and Water Boards staff will consider incorporating other conditions into approvals of Class II injection projects.</w:t>
      </w:r>
      <w:r w:rsidR="00F8254E">
        <w:rPr>
          <w:rFonts w:ascii="Century Gothic" w:hAnsi="Century Gothic" w:cs="Arial"/>
        </w:rPr>
        <w:t xml:space="preserve"> </w:t>
      </w:r>
      <w:r w:rsidRPr="00DC26D9">
        <w:rPr>
          <w:rFonts w:ascii="Century Gothic" w:hAnsi="Century Gothic" w:cs="Arial"/>
        </w:rPr>
        <w:t>Potential conditions</w:t>
      </w:r>
      <w:r w:rsidR="00AA2528">
        <w:rPr>
          <w:rFonts w:ascii="Century Gothic" w:hAnsi="Century Gothic" w:cs="Arial"/>
        </w:rPr>
        <w:t xml:space="preserve"> </w:t>
      </w:r>
      <w:r w:rsidRPr="00DC26D9">
        <w:rPr>
          <w:rFonts w:ascii="Century Gothic" w:hAnsi="Century Gothic" w:cs="Arial"/>
        </w:rPr>
        <w:t>include, but are not limited</w:t>
      </w:r>
      <w:r w:rsidR="00AA2528">
        <w:rPr>
          <w:rFonts w:ascii="Century Gothic" w:hAnsi="Century Gothic" w:cs="Arial"/>
        </w:rPr>
        <w:t xml:space="preserve"> </w:t>
      </w:r>
      <w:r w:rsidRPr="00DC26D9">
        <w:rPr>
          <w:rFonts w:ascii="Century Gothic" w:hAnsi="Century Gothic" w:cs="Arial"/>
        </w:rPr>
        <w:t xml:space="preserve">to, </w:t>
      </w:r>
      <w:r w:rsidR="0038713A">
        <w:rPr>
          <w:rFonts w:ascii="Century Gothic" w:hAnsi="Century Gothic" w:cs="Arial"/>
        </w:rPr>
        <w:t>collecting groundwater samples from proposed injection project wells that are completed in the portion of the exempted formation proposed for injection to establish baseline groundwater quality prior to fluid injection and requiring monitoring to validate that injected fluids remain in the exempted area.</w:t>
      </w:r>
      <w:r w:rsidR="00F8254E">
        <w:rPr>
          <w:rFonts w:ascii="Century Gothic" w:hAnsi="Century Gothic" w:cs="Arial"/>
        </w:rPr>
        <w:t xml:space="preserve"> </w:t>
      </w:r>
      <w:r w:rsidRPr="00DC26D9">
        <w:rPr>
          <w:rFonts w:ascii="Century Gothic" w:hAnsi="Century Gothic" w:cs="Arial"/>
        </w:rPr>
        <w:t>In</w:t>
      </w:r>
      <w:r w:rsidR="00AA2528">
        <w:rPr>
          <w:rFonts w:ascii="Century Gothic" w:hAnsi="Century Gothic" w:cs="Arial"/>
        </w:rPr>
        <w:t xml:space="preserve"> </w:t>
      </w:r>
      <w:r w:rsidRPr="00DC26D9">
        <w:rPr>
          <w:rFonts w:ascii="Century Gothic" w:hAnsi="Century Gothic" w:cs="Arial"/>
        </w:rPr>
        <w:t xml:space="preserve">addition, for any injection project within one-quarter mile of a </w:t>
      </w:r>
      <w:r w:rsidR="0038713A">
        <w:rPr>
          <w:rFonts w:ascii="Century Gothic" w:hAnsi="Century Gothic" w:cs="Arial"/>
        </w:rPr>
        <w:t>potential conduit well</w:t>
      </w:r>
      <w:r w:rsidRPr="00DC26D9">
        <w:rPr>
          <w:rFonts w:ascii="Century Gothic" w:hAnsi="Century Gothic" w:cs="Arial"/>
        </w:rPr>
        <w:t>, Water</w:t>
      </w:r>
      <w:r w:rsidR="00AA2528">
        <w:rPr>
          <w:rFonts w:ascii="Century Gothic" w:hAnsi="Century Gothic" w:cs="Arial"/>
        </w:rPr>
        <w:t xml:space="preserve"> </w:t>
      </w:r>
      <w:r w:rsidRPr="00DC26D9">
        <w:rPr>
          <w:rFonts w:ascii="Century Gothic" w:hAnsi="Century Gothic" w:cs="Arial"/>
        </w:rPr>
        <w:t>Boards staff may seek</w:t>
      </w:r>
      <w:r w:rsidR="0038713A">
        <w:rPr>
          <w:rFonts w:ascii="Century Gothic" w:hAnsi="Century Gothic" w:cs="Arial"/>
        </w:rPr>
        <w:t xml:space="preserve"> additional monitoring or remediation requirements to ensure that the injected fluids remain within the exempted areas.</w:t>
      </w:r>
      <w:r w:rsidR="00F8254E">
        <w:rPr>
          <w:rFonts w:ascii="Century Gothic" w:hAnsi="Century Gothic" w:cs="Arial"/>
        </w:rPr>
        <w:t xml:space="preserve"> </w:t>
      </w:r>
      <w:r w:rsidRPr="00DC26D9">
        <w:rPr>
          <w:rFonts w:ascii="Century Gothic" w:hAnsi="Century Gothic" w:cs="Arial"/>
        </w:rPr>
        <w:t>If a monitoring</w:t>
      </w:r>
      <w:r w:rsidR="008201AC">
        <w:rPr>
          <w:rFonts w:ascii="Century Gothic" w:hAnsi="Century Gothic" w:cs="Arial"/>
        </w:rPr>
        <w:t xml:space="preserve"> </w:t>
      </w:r>
      <w:r w:rsidRPr="00DC26D9">
        <w:rPr>
          <w:rFonts w:ascii="Century Gothic" w:hAnsi="Century Gothic" w:cs="Arial"/>
        </w:rPr>
        <w:t>requirement is incorporated in a UIC project approval, the operator must submit a work</w:t>
      </w:r>
      <w:r w:rsidR="008201AC">
        <w:rPr>
          <w:rFonts w:ascii="Century Gothic" w:hAnsi="Century Gothic" w:cs="Arial"/>
        </w:rPr>
        <w:t xml:space="preserve"> </w:t>
      </w:r>
      <w:r w:rsidRPr="00DC26D9">
        <w:rPr>
          <w:rFonts w:ascii="Century Gothic" w:hAnsi="Century Gothic" w:cs="Arial"/>
        </w:rPr>
        <w:t>plan to the Central Valley Regional Water Quality Control Board for approval.</w:t>
      </w:r>
    </w:p>
    <w:p w14:paraId="2DA72F4A" w14:textId="77777777" w:rsidR="00DC26D9" w:rsidRPr="009B7FEE" w:rsidRDefault="00DC26D9" w:rsidP="00882A98">
      <w:pPr>
        <w:widowControl/>
        <w:autoSpaceDE w:val="0"/>
        <w:autoSpaceDN w:val="0"/>
        <w:adjustRightInd w:val="0"/>
        <w:rPr>
          <w:rFonts w:ascii="Century Gothic" w:hAnsi="Century Gothic" w:cs="Arial"/>
          <w:color w:val="FF0000"/>
        </w:rPr>
      </w:pPr>
    </w:p>
    <w:p w14:paraId="790D4458" w14:textId="77777777" w:rsidR="00744C84" w:rsidRPr="009B7FEE" w:rsidRDefault="00744C84" w:rsidP="00882A98">
      <w:pPr>
        <w:widowControl/>
        <w:autoSpaceDE w:val="0"/>
        <w:autoSpaceDN w:val="0"/>
        <w:adjustRightInd w:val="0"/>
        <w:rPr>
          <w:rFonts w:ascii="Century Gothic" w:hAnsi="Century Gothic" w:cs="Arial"/>
        </w:rPr>
      </w:pPr>
    </w:p>
    <w:p w14:paraId="4677CCF8" w14:textId="663A81EC" w:rsidR="000F1EC4" w:rsidRPr="009B7FEE" w:rsidRDefault="005C4C6A" w:rsidP="001A16E0">
      <w:pPr>
        <w:pStyle w:val="Heading1"/>
        <w:rPr>
          <w:rFonts w:ascii="Century Gothic" w:hAnsi="Century Gothic"/>
        </w:rPr>
      </w:pPr>
      <w:r w:rsidRPr="009B7FEE">
        <w:rPr>
          <w:rFonts w:ascii="Century Gothic" w:hAnsi="Century Gothic"/>
        </w:rPr>
        <w:t>C</w:t>
      </w:r>
      <w:r w:rsidR="005B192D" w:rsidRPr="009B7FEE">
        <w:rPr>
          <w:rFonts w:ascii="Century Gothic" w:hAnsi="Century Gothic"/>
        </w:rPr>
        <w:t>ONCLUSION</w:t>
      </w:r>
    </w:p>
    <w:p w14:paraId="6D972235" w14:textId="77777777" w:rsidR="00EB0A23" w:rsidRPr="009B7FEE" w:rsidRDefault="00EB0A23" w:rsidP="005C4C6A">
      <w:pPr>
        <w:rPr>
          <w:rFonts w:ascii="Century Gothic" w:eastAsia="Calibri" w:hAnsi="Century Gothic" w:cs="Arial"/>
        </w:rPr>
      </w:pPr>
    </w:p>
    <w:p w14:paraId="7CFF2D57" w14:textId="2C985382" w:rsidR="004D6DFB" w:rsidRPr="009B7FEE" w:rsidRDefault="003F5C1A" w:rsidP="00745B95">
      <w:pPr>
        <w:pStyle w:val="BodyText"/>
        <w:ind w:left="0"/>
        <w:rPr>
          <w:rFonts w:ascii="Century Gothic" w:hAnsi="Century Gothic" w:cs="Arial"/>
          <w:sz w:val="22"/>
          <w:szCs w:val="22"/>
        </w:rPr>
      </w:pPr>
      <w:r w:rsidRPr="009B7FEE">
        <w:rPr>
          <w:rFonts w:ascii="Century Gothic" w:hAnsi="Century Gothic" w:cs="Arial"/>
          <w:sz w:val="22"/>
          <w:szCs w:val="22"/>
        </w:rPr>
        <w:t>Information presented</w:t>
      </w:r>
      <w:r w:rsidR="006A0FEA" w:rsidRPr="009B7FEE">
        <w:rPr>
          <w:rFonts w:ascii="Century Gothic" w:hAnsi="Century Gothic" w:cs="Arial"/>
          <w:sz w:val="22"/>
          <w:szCs w:val="22"/>
        </w:rPr>
        <w:t xml:space="preserve"> in the proposal materials support</w:t>
      </w:r>
      <w:r w:rsidRPr="009B7FEE">
        <w:rPr>
          <w:rFonts w:ascii="Century Gothic" w:hAnsi="Century Gothic" w:cs="Arial"/>
          <w:sz w:val="22"/>
          <w:szCs w:val="22"/>
        </w:rPr>
        <w:t>s</w:t>
      </w:r>
      <w:r w:rsidR="006A0FEA" w:rsidRPr="009B7FEE">
        <w:rPr>
          <w:rFonts w:ascii="Century Gothic" w:hAnsi="Century Gothic" w:cs="Arial"/>
          <w:sz w:val="22"/>
          <w:szCs w:val="22"/>
        </w:rPr>
        <w:t xml:space="preserve"> the following conclusions regarding the Proposal Area</w:t>
      </w:r>
      <w:r w:rsidR="004D6DFB" w:rsidRPr="009B7FEE">
        <w:rPr>
          <w:rFonts w:ascii="Century Gothic" w:hAnsi="Century Gothic" w:cs="Arial"/>
          <w:sz w:val="22"/>
          <w:szCs w:val="22"/>
        </w:rPr>
        <w:t xml:space="preserve">: </w:t>
      </w:r>
    </w:p>
    <w:p w14:paraId="00DC319F" w14:textId="77777777" w:rsidR="00EB0A23" w:rsidRPr="009B7FEE" w:rsidRDefault="00EB0A23" w:rsidP="00745B95">
      <w:pPr>
        <w:pStyle w:val="BodyText"/>
        <w:ind w:left="0"/>
        <w:rPr>
          <w:rFonts w:ascii="Century Gothic" w:hAnsi="Century Gothic" w:cs="Arial"/>
          <w:sz w:val="22"/>
          <w:szCs w:val="22"/>
        </w:rPr>
      </w:pPr>
    </w:p>
    <w:p w14:paraId="64DB60F6" w14:textId="77777777" w:rsidR="00EB0A23" w:rsidRPr="009B7FEE" w:rsidRDefault="00EB0A23" w:rsidP="00EB0A23">
      <w:pPr>
        <w:numPr>
          <w:ilvl w:val="2"/>
          <w:numId w:val="15"/>
        </w:numPr>
        <w:ind w:left="720"/>
        <w:rPr>
          <w:rFonts w:ascii="Century Gothic" w:eastAsia="Calibri" w:hAnsi="Century Gothic" w:cs="Arial"/>
        </w:rPr>
      </w:pPr>
      <w:r w:rsidRPr="009B7FEE">
        <w:rPr>
          <w:rFonts w:ascii="Century Gothic" w:eastAsia="Calibri" w:hAnsi="Century Gothic" w:cs="Arial"/>
        </w:rPr>
        <w:t xml:space="preserve">The Proposal Area does not currently serve as a source of drinking </w:t>
      </w:r>
      <w:proofErr w:type="gramStart"/>
      <w:r w:rsidRPr="009B7FEE">
        <w:rPr>
          <w:rFonts w:ascii="Century Gothic" w:eastAsia="Calibri" w:hAnsi="Century Gothic" w:cs="Arial"/>
        </w:rPr>
        <w:t>water;</w:t>
      </w:r>
      <w:proofErr w:type="gramEnd"/>
      <w:r w:rsidRPr="009B7FEE">
        <w:rPr>
          <w:rFonts w:ascii="Century Gothic" w:eastAsia="Calibri" w:hAnsi="Century Gothic" w:cs="Arial"/>
        </w:rPr>
        <w:t xml:space="preserve"> </w:t>
      </w:r>
    </w:p>
    <w:p w14:paraId="4F23AE49" w14:textId="2D4D2379" w:rsidR="00EB0A23" w:rsidRPr="009B7FEE" w:rsidRDefault="00936EB1" w:rsidP="00EB0A23">
      <w:pPr>
        <w:numPr>
          <w:ilvl w:val="2"/>
          <w:numId w:val="15"/>
        </w:numPr>
        <w:ind w:left="720"/>
        <w:rPr>
          <w:rFonts w:ascii="Century Gothic" w:eastAsia="Calibri" w:hAnsi="Century Gothic" w:cs="Arial"/>
        </w:rPr>
      </w:pPr>
      <w:r>
        <w:rPr>
          <w:rFonts w:ascii="Century Gothic" w:eastAsia="Calibri" w:hAnsi="Century Gothic" w:cs="Arial"/>
        </w:rPr>
        <w:t>Groundwater in t</w:t>
      </w:r>
      <w:r w:rsidR="00EB0A23" w:rsidRPr="7E276FF1">
        <w:rPr>
          <w:rFonts w:ascii="Century Gothic" w:eastAsia="Calibri" w:hAnsi="Century Gothic" w:cs="Arial"/>
        </w:rPr>
        <w:t xml:space="preserve">he Proposal Area </w:t>
      </w:r>
      <w:r w:rsidR="00D3755C">
        <w:rPr>
          <w:rFonts w:ascii="Century Gothic" w:eastAsia="Calibri" w:hAnsi="Century Gothic" w:cs="Arial"/>
        </w:rPr>
        <w:t>contains</w:t>
      </w:r>
      <w:r w:rsidRPr="00936EB1">
        <w:rPr>
          <w:rFonts w:ascii="Century Gothic" w:eastAsia="Calibri" w:hAnsi="Century Gothic" w:cs="Arial"/>
        </w:rPr>
        <w:t xml:space="preserve"> TDS </w:t>
      </w:r>
      <w:r w:rsidR="007D350A">
        <w:rPr>
          <w:rFonts w:ascii="Century Gothic" w:eastAsia="Calibri" w:hAnsi="Century Gothic" w:cs="Arial"/>
        </w:rPr>
        <w:t>between</w:t>
      </w:r>
      <w:r w:rsidRPr="00936EB1">
        <w:rPr>
          <w:rFonts w:ascii="Century Gothic" w:eastAsia="Calibri" w:hAnsi="Century Gothic" w:cs="Arial"/>
        </w:rPr>
        <w:t xml:space="preserve"> 3,000 and 10,000 mg/L </w:t>
      </w:r>
      <w:r w:rsidR="00325B4F">
        <w:rPr>
          <w:rFonts w:ascii="Century Gothic" w:eastAsia="Calibri" w:hAnsi="Century Gothic" w:cs="Arial"/>
        </w:rPr>
        <w:t>a</w:t>
      </w:r>
      <w:r w:rsidR="00325B4F" w:rsidRPr="00325B4F">
        <w:rPr>
          <w:rFonts w:ascii="Century Gothic" w:eastAsia="Calibri" w:hAnsi="Century Gothic" w:cs="Arial"/>
        </w:rPr>
        <w:t xml:space="preserve">nd is not reasonably expected to supply a public water system due to </w:t>
      </w:r>
      <w:r w:rsidRPr="00936EB1">
        <w:rPr>
          <w:rFonts w:ascii="Century Gothic" w:eastAsia="Calibri" w:hAnsi="Century Gothic" w:cs="Arial"/>
        </w:rPr>
        <w:t xml:space="preserve">the presence of petroleum hydrocarbons and/or elevated concentrations of other constituents, such as </w:t>
      </w:r>
      <w:proofErr w:type="gramStart"/>
      <w:r w:rsidRPr="00936EB1">
        <w:rPr>
          <w:rFonts w:ascii="Century Gothic" w:eastAsia="Calibri" w:hAnsi="Century Gothic" w:cs="Arial"/>
        </w:rPr>
        <w:t>boron</w:t>
      </w:r>
      <w:r w:rsidR="00EB0A23" w:rsidRPr="7E276FF1">
        <w:rPr>
          <w:rFonts w:ascii="Century Gothic" w:eastAsia="Calibri" w:hAnsi="Century Gothic" w:cs="Arial"/>
        </w:rPr>
        <w:t>;</w:t>
      </w:r>
      <w:proofErr w:type="gramEnd"/>
      <w:r w:rsidR="00EB0A23" w:rsidRPr="7E276FF1">
        <w:rPr>
          <w:rFonts w:ascii="Century Gothic" w:eastAsia="Calibri" w:hAnsi="Century Gothic" w:cs="Arial"/>
        </w:rPr>
        <w:t xml:space="preserve"> </w:t>
      </w:r>
    </w:p>
    <w:p w14:paraId="26E1F618" w14:textId="0356AE3B" w:rsidR="00EB0A23" w:rsidRPr="009B7FEE" w:rsidRDefault="00EB0A23" w:rsidP="00EB0A23">
      <w:pPr>
        <w:numPr>
          <w:ilvl w:val="2"/>
          <w:numId w:val="15"/>
        </w:numPr>
        <w:ind w:left="720"/>
        <w:rPr>
          <w:rFonts w:ascii="Century Gothic" w:eastAsia="Calibri" w:hAnsi="Century Gothic" w:cs="Arial"/>
        </w:rPr>
      </w:pPr>
      <w:r w:rsidRPr="009B7FEE">
        <w:rPr>
          <w:rFonts w:ascii="Century Gothic" w:eastAsia="Calibri" w:hAnsi="Century Gothic" w:cs="Arial"/>
        </w:rPr>
        <w:t xml:space="preserve">The injection of fluids into the Proposal Area </w:t>
      </w:r>
      <w:r w:rsidR="00190FD7">
        <w:rPr>
          <w:rFonts w:ascii="Century Gothic" w:eastAsia="Calibri" w:hAnsi="Century Gothic" w:cs="Arial"/>
        </w:rPr>
        <w:t>is not</w:t>
      </w:r>
      <w:r w:rsidR="000E2A99">
        <w:rPr>
          <w:rFonts w:ascii="Century Gothic" w:eastAsia="Calibri" w:hAnsi="Century Gothic" w:cs="Arial"/>
        </w:rPr>
        <w:t xml:space="preserve"> expected to</w:t>
      </w:r>
      <w:r w:rsidRPr="009B7FEE">
        <w:rPr>
          <w:rFonts w:ascii="Century Gothic" w:eastAsia="Calibri" w:hAnsi="Century Gothic" w:cs="Arial"/>
        </w:rPr>
        <w:t xml:space="preserve"> affect the quality of water that is, or may reasonably be, used for any beneficial use; and</w:t>
      </w:r>
    </w:p>
    <w:p w14:paraId="10F27870" w14:textId="12544FB8" w:rsidR="001613D9" w:rsidRPr="009B7FEE" w:rsidRDefault="00EB0A23" w:rsidP="001613D9">
      <w:pPr>
        <w:pStyle w:val="BodyText"/>
        <w:numPr>
          <w:ilvl w:val="2"/>
          <w:numId w:val="15"/>
        </w:numPr>
        <w:ind w:left="720"/>
        <w:rPr>
          <w:rFonts w:ascii="Century Gothic" w:hAnsi="Century Gothic" w:cs="Arial"/>
          <w:sz w:val="22"/>
          <w:szCs w:val="22"/>
        </w:rPr>
      </w:pPr>
      <w:r w:rsidRPr="009B7FEE">
        <w:rPr>
          <w:rFonts w:ascii="Century Gothic" w:hAnsi="Century Gothic" w:cs="Arial"/>
          <w:sz w:val="22"/>
          <w:szCs w:val="22"/>
        </w:rPr>
        <w:t xml:space="preserve">The injected fluids </w:t>
      </w:r>
      <w:r w:rsidR="008971DA">
        <w:rPr>
          <w:rFonts w:ascii="Century Gothic" w:hAnsi="Century Gothic" w:cs="Arial"/>
          <w:sz w:val="22"/>
          <w:szCs w:val="22"/>
        </w:rPr>
        <w:t>are expected to</w:t>
      </w:r>
      <w:r w:rsidR="008971DA" w:rsidRPr="009B7FEE">
        <w:rPr>
          <w:rFonts w:ascii="Century Gothic" w:hAnsi="Century Gothic" w:cs="Arial"/>
          <w:sz w:val="22"/>
          <w:szCs w:val="22"/>
        </w:rPr>
        <w:t xml:space="preserve"> </w:t>
      </w:r>
      <w:r w:rsidRPr="009B7FEE">
        <w:rPr>
          <w:rFonts w:ascii="Century Gothic" w:hAnsi="Century Gothic" w:cs="Arial"/>
          <w:sz w:val="22"/>
          <w:szCs w:val="22"/>
        </w:rPr>
        <w:t xml:space="preserve">remain in the </w:t>
      </w:r>
      <w:r w:rsidR="001613D9" w:rsidRPr="009B7FEE">
        <w:rPr>
          <w:rFonts w:ascii="Century Gothic" w:hAnsi="Century Gothic" w:cs="Arial"/>
          <w:sz w:val="22"/>
          <w:szCs w:val="22"/>
        </w:rPr>
        <w:t xml:space="preserve">aquifer or portion of the aquifer </w:t>
      </w:r>
      <w:r w:rsidR="001613D9" w:rsidRPr="009B7FEE">
        <w:rPr>
          <w:rFonts w:ascii="Century Gothic" w:hAnsi="Century Gothic" w:cs="Arial"/>
          <w:sz w:val="22"/>
          <w:szCs w:val="22"/>
        </w:rPr>
        <w:lastRenderedPageBreak/>
        <w:t xml:space="preserve">that would be exempted. </w:t>
      </w:r>
    </w:p>
    <w:p w14:paraId="13AD9604" w14:textId="77777777" w:rsidR="00A55902" w:rsidRPr="009B7FEE" w:rsidRDefault="00A55902" w:rsidP="00A55902">
      <w:pPr>
        <w:widowControl/>
        <w:autoSpaceDE w:val="0"/>
        <w:autoSpaceDN w:val="0"/>
        <w:adjustRightInd w:val="0"/>
        <w:rPr>
          <w:rFonts w:ascii="Century Gothic" w:hAnsi="Century Gothic" w:cs="Arial"/>
        </w:rPr>
      </w:pPr>
    </w:p>
    <w:p w14:paraId="28AD2171" w14:textId="0F16E737" w:rsidR="001F417B" w:rsidRDefault="00EB0A23" w:rsidP="00BF7F46">
      <w:pPr>
        <w:rPr>
          <w:rFonts w:ascii="Century Gothic" w:hAnsi="Century Gothic" w:cs="Arial"/>
        </w:rPr>
      </w:pPr>
      <w:r w:rsidRPr="009B7FEE">
        <w:rPr>
          <w:rFonts w:ascii="Century Gothic" w:hAnsi="Century Gothic" w:cs="Arial"/>
        </w:rPr>
        <w:t>Based on these factors,</w:t>
      </w:r>
      <w:r w:rsidR="00324334" w:rsidRPr="009B7FEE">
        <w:rPr>
          <w:rFonts w:ascii="Century Gothic" w:hAnsi="Century Gothic" w:cs="Arial"/>
        </w:rPr>
        <w:t xml:space="preserve"> </w:t>
      </w:r>
      <w:r w:rsidR="003F5C1A" w:rsidRPr="009B7FEE">
        <w:rPr>
          <w:rFonts w:ascii="Century Gothic" w:hAnsi="Century Gothic" w:cs="Arial"/>
        </w:rPr>
        <w:t xml:space="preserve">as further </w:t>
      </w:r>
      <w:r w:rsidR="00AE5EC0" w:rsidRPr="009B7FEE">
        <w:rPr>
          <w:rFonts w:ascii="Century Gothic" w:hAnsi="Century Gothic" w:cs="Arial"/>
        </w:rPr>
        <w:t>discussed</w:t>
      </w:r>
      <w:r w:rsidR="003F5C1A" w:rsidRPr="009B7FEE">
        <w:rPr>
          <w:rFonts w:ascii="Century Gothic" w:hAnsi="Century Gothic" w:cs="Arial"/>
        </w:rPr>
        <w:t xml:space="preserve"> in the supporting proposal </w:t>
      </w:r>
      <w:r w:rsidR="00AE5EC0" w:rsidRPr="009B7FEE">
        <w:rPr>
          <w:rFonts w:ascii="Century Gothic" w:hAnsi="Century Gothic" w:cs="Arial"/>
        </w:rPr>
        <w:t>materials</w:t>
      </w:r>
      <w:r w:rsidR="003F5C1A" w:rsidRPr="009B7FEE">
        <w:rPr>
          <w:rFonts w:ascii="Century Gothic" w:hAnsi="Century Gothic" w:cs="Arial"/>
        </w:rPr>
        <w:t>,</w:t>
      </w:r>
      <w:r w:rsidRPr="009B7FEE">
        <w:rPr>
          <w:rFonts w:ascii="Century Gothic" w:hAnsi="Century Gothic" w:cs="Arial"/>
        </w:rPr>
        <w:t xml:space="preserve"> </w:t>
      </w:r>
      <w:r w:rsidR="00324334" w:rsidRPr="009B7FEE">
        <w:rPr>
          <w:rFonts w:ascii="Century Gothic" w:hAnsi="Century Gothic" w:cs="Arial"/>
        </w:rPr>
        <w:t xml:space="preserve">and pending review </w:t>
      </w:r>
      <w:r w:rsidR="006A0FEA" w:rsidRPr="009B7FEE">
        <w:rPr>
          <w:rFonts w:ascii="Century Gothic" w:hAnsi="Century Gothic" w:cs="Arial"/>
        </w:rPr>
        <w:t xml:space="preserve">of all timely and relevant </w:t>
      </w:r>
      <w:r w:rsidR="00324334" w:rsidRPr="009B7FEE">
        <w:rPr>
          <w:rFonts w:ascii="Century Gothic" w:hAnsi="Century Gothic" w:cs="Arial"/>
        </w:rPr>
        <w:t>comments from the public</w:t>
      </w:r>
      <w:r w:rsidR="00747420" w:rsidRPr="009B7FEE">
        <w:rPr>
          <w:rFonts w:ascii="Century Gothic" w:hAnsi="Century Gothic" w:cs="Arial"/>
        </w:rPr>
        <w:t>, with</w:t>
      </w:r>
      <w:r w:rsidR="00AC0447" w:rsidRPr="009B7FEE">
        <w:rPr>
          <w:rFonts w:ascii="Century Gothic" w:hAnsi="Century Gothic" w:cs="Arial"/>
        </w:rPr>
        <w:t xml:space="preserve"> the </w:t>
      </w:r>
      <w:r w:rsidR="00747420" w:rsidRPr="009B7FEE">
        <w:rPr>
          <w:rFonts w:ascii="Century Gothic" w:hAnsi="Century Gothic" w:cs="Arial"/>
        </w:rPr>
        <w:t xml:space="preserve">concurrence of the </w:t>
      </w:r>
      <w:r w:rsidR="00AC0447" w:rsidRPr="009B7FEE">
        <w:rPr>
          <w:rFonts w:ascii="Century Gothic" w:hAnsi="Century Gothic" w:cs="Arial"/>
        </w:rPr>
        <w:t xml:space="preserve">State Water Board, </w:t>
      </w:r>
      <w:r w:rsidR="00BA5BBF">
        <w:rPr>
          <w:rFonts w:ascii="Century Gothic" w:hAnsi="Century Gothic" w:cs="Arial"/>
        </w:rPr>
        <w:t>CalGEM</w:t>
      </w:r>
      <w:r w:rsidR="00747420" w:rsidRPr="009B7FEE">
        <w:rPr>
          <w:rFonts w:ascii="Century Gothic" w:hAnsi="Century Gothic" w:cs="Arial"/>
        </w:rPr>
        <w:t xml:space="preserve"> </w:t>
      </w:r>
      <w:r w:rsidRPr="009B7FEE">
        <w:rPr>
          <w:rFonts w:ascii="Century Gothic" w:hAnsi="Century Gothic" w:cs="Arial"/>
        </w:rPr>
        <w:t xml:space="preserve">intends to recommend that the US EPA designate the Proposal Area an exempted aquifer for </w:t>
      </w:r>
      <w:r w:rsidR="00734229" w:rsidRPr="009B7FEE">
        <w:rPr>
          <w:rFonts w:ascii="Century Gothic" w:hAnsi="Century Gothic" w:cs="Arial"/>
        </w:rPr>
        <w:t>purposes</w:t>
      </w:r>
      <w:r w:rsidRPr="009B7FEE">
        <w:rPr>
          <w:rFonts w:ascii="Century Gothic" w:hAnsi="Century Gothic" w:cs="Arial"/>
        </w:rPr>
        <w:t xml:space="preserve"> of </w:t>
      </w:r>
      <w:r w:rsidR="00734229" w:rsidRPr="009B7FEE">
        <w:rPr>
          <w:rFonts w:ascii="Century Gothic" w:hAnsi="Century Gothic" w:cs="Arial"/>
        </w:rPr>
        <w:t>receiving</w:t>
      </w:r>
      <w:r w:rsidRPr="009B7FEE">
        <w:rPr>
          <w:rFonts w:ascii="Century Gothic" w:hAnsi="Century Gothic" w:cs="Arial"/>
        </w:rPr>
        <w:t xml:space="preserve"> fluids from Class II injection wells.</w:t>
      </w:r>
    </w:p>
    <w:p w14:paraId="0DEE05D3" w14:textId="77777777" w:rsidR="002C2DE6" w:rsidRDefault="002C2DE6" w:rsidP="00BF7F46">
      <w:pPr>
        <w:rPr>
          <w:rFonts w:ascii="Century Gothic" w:hAnsi="Century Gothic" w:cs="Times New Roman"/>
          <w:b/>
        </w:rPr>
      </w:pPr>
    </w:p>
    <w:p w14:paraId="29E45D48" w14:textId="77777777" w:rsidR="002C2DE6" w:rsidRDefault="002C2DE6" w:rsidP="00BF7F46">
      <w:pPr>
        <w:rPr>
          <w:rFonts w:ascii="Century Gothic" w:hAnsi="Century Gothic" w:cs="Times New Roman"/>
          <w:b/>
        </w:rPr>
      </w:pPr>
    </w:p>
    <w:p w14:paraId="44CBC66C" w14:textId="77777777" w:rsidR="003176C6" w:rsidRDefault="003176C6" w:rsidP="00597370">
      <w:pPr>
        <w:rPr>
          <w:rFonts w:ascii="Century Gothic" w:hAnsi="Century Gothic" w:cs="Times New Roman"/>
          <w:b/>
          <w:noProof/>
        </w:rPr>
      </w:pPr>
    </w:p>
    <w:p w14:paraId="741072BE" w14:textId="77777777" w:rsidR="000C7ED5" w:rsidRDefault="000C7ED5" w:rsidP="002C2DE6">
      <w:pPr>
        <w:jc w:val="center"/>
        <w:rPr>
          <w:rFonts w:ascii="Century Gothic" w:hAnsi="Century Gothic" w:cs="Times New Roman"/>
          <w:b/>
          <w:noProof/>
        </w:rPr>
      </w:pPr>
    </w:p>
    <w:p w14:paraId="721F119C" w14:textId="793C0055" w:rsidR="000C7ED5" w:rsidRDefault="00B97C31" w:rsidP="002C2DE6">
      <w:pPr>
        <w:jc w:val="center"/>
        <w:rPr>
          <w:rFonts w:ascii="Century Gothic" w:hAnsi="Century Gothic" w:cs="Times New Roman"/>
          <w:b/>
          <w:noProof/>
        </w:rPr>
      </w:pPr>
      <w:r w:rsidRPr="00B97C31">
        <w:rPr>
          <w:rFonts w:ascii="Century Gothic" w:hAnsi="Century Gothic" w:cs="Times New Roman"/>
          <w:b/>
          <w:noProof/>
        </w:rPr>
        <w:lastRenderedPageBreak/>
        <w:drawing>
          <wp:inline distT="0" distB="0" distL="0" distR="0" wp14:anchorId="0DE5C613" wp14:editId="30D204C0">
            <wp:extent cx="6096000" cy="6626225"/>
            <wp:effectExtent l="0" t="0" r="0" b="3175"/>
            <wp:docPr id="1910289330" name="Picture 1" descr="AE Proposal Area Location Map of North Antelope Hills Field. Image identifies proposed aquifer exemption boundary, primacy exempted areas (including Tulare Formation), primacy exempted areas (not including Tulare Formation), and Oil Field Administrative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89330" name="Picture 1" descr="AE Proposal Area Location Map of North Antelope Hills Field. Image identifies proposed aquifer exemption boundary, primacy exempted areas (including Tulare Formation), primacy exempted areas (not including Tulare Formation), and Oil Field Administrative boundaries."/>
                    <pic:cNvPicPr/>
                  </pic:nvPicPr>
                  <pic:blipFill>
                    <a:blip r:embed="rId14"/>
                    <a:stretch>
                      <a:fillRect/>
                    </a:stretch>
                  </pic:blipFill>
                  <pic:spPr>
                    <a:xfrm>
                      <a:off x="0" y="0"/>
                      <a:ext cx="6096000" cy="6626225"/>
                    </a:xfrm>
                    <a:prstGeom prst="rect">
                      <a:avLst/>
                    </a:prstGeom>
                  </pic:spPr>
                </pic:pic>
              </a:graphicData>
            </a:graphic>
          </wp:inline>
        </w:drawing>
      </w:r>
    </w:p>
    <w:p w14:paraId="1637C078" w14:textId="7F6E824B" w:rsidR="000C7ED5" w:rsidRDefault="000C7ED5" w:rsidP="002C2DE6">
      <w:pPr>
        <w:jc w:val="center"/>
        <w:rPr>
          <w:rFonts w:ascii="Century Gothic" w:hAnsi="Century Gothic" w:cs="Times New Roman"/>
          <w:b/>
          <w:noProof/>
        </w:rPr>
      </w:pPr>
    </w:p>
    <w:p w14:paraId="5D1C7E10" w14:textId="77777777" w:rsidR="000C7ED5" w:rsidRDefault="000C7ED5" w:rsidP="002C2DE6">
      <w:pPr>
        <w:jc w:val="center"/>
        <w:rPr>
          <w:rFonts w:ascii="Century Gothic" w:hAnsi="Century Gothic" w:cs="Times New Roman"/>
          <w:b/>
          <w:noProof/>
        </w:rPr>
      </w:pPr>
    </w:p>
    <w:p w14:paraId="5D5CBC13" w14:textId="77777777" w:rsidR="000C7ED5" w:rsidRDefault="000C7ED5" w:rsidP="002C2DE6">
      <w:pPr>
        <w:jc w:val="center"/>
        <w:rPr>
          <w:rFonts w:ascii="Century Gothic" w:hAnsi="Century Gothic" w:cs="Times New Roman"/>
          <w:b/>
          <w:noProof/>
        </w:rPr>
      </w:pPr>
    </w:p>
    <w:p w14:paraId="4F2376D4" w14:textId="77777777" w:rsidR="000C7ED5" w:rsidRDefault="000C7ED5" w:rsidP="002C2DE6">
      <w:pPr>
        <w:jc w:val="center"/>
        <w:rPr>
          <w:rFonts w:ascii="Century Gothic" w:hAnsi="Century Gothic" w:cs="Times New Roman"/>
          <w:b/>
          <w:noProof/>
        </w:rPr>
      </w:pPr>
    </w:p>
    <w:p w14:paraId="77B24DDC" w14:textId="77777777" w:rsidR="000C7ED5" w:rsidRDefault="000C7ED5" w:rsidP="002C2DE6">
      <w:pPr>
        <w:jc w:val="center"/>
        <w:rPr>
          <w:rFonts w:ascii="Century Gothic" w:hAnsi="Century Gothic" w:cs="Times New Roman"/>
          <w:b/>
          <w:noProof/>
        </w:rPr>
      </w:pPr>
    </w:p>
    <w:sectPr w:rsidR="000C7ED5" w:rsidSect="00282D88">
      <w:headerReference w:type="even" r:id="rId15"/>
      <w:headerReference w:type="default" r:id="rId16"/>
      <w:footerReference w:type="even" r:id="rId17"/>
      <w:footerReference w:type="default" r:id="rId18"/>
      <w:headerReference w:type="first" r:id="rId19"/>
      <w:footerReference w:type="first" r:id="rId20"/>
      <w:pgSz w:w="12240" w:h="15840"/>
      <w:pgMar w:top="1400" w:right="1320" w:bottom="1710" w:left="13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E47F" w14:textId="77777777" w:rsidR="00984C8C" w:rsidRDefault="00984C8C">
      <w:r>
        <w:separator/>
      </w:r>
    </w:p>
  </w:endnote>
  <w:endnote w:type="continuationSeparator" w:id="0">
    <w:p w14:paraId="5CF4DF04" w14:textId="77777777" w:rsidR="00984C8C" w:rsidRDefault="00984C8C">
      <w:r>
        <w:continuationSeparator/>
      </w:r>
    </w:p>
  </w:endnote>
  <w:endnote w:type="continuationNotice" w:id="1">
    <w:p w14:paraId="159979E9" w14:textId="77777777" w:rsidR="00984C8C" w:rsidRDefault="00984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5D4C" w14:textId="77777777" w:rsidR="00DF62B2" w:rsidRDefault="00DF6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1717491481"/>
      <w:docPartObj>
        <w:docPartGallery w:val="Page Numbers (Bottom of Page)"/>
        <w:docPartUnique/>
      </w:docPartObj>
    </w:sdtPr>
    <w:sdtEndPr>
      <w:rPr>
        <w:rFonts w:cs="Arial"/>
        <w:noProof/>
        <w:sz w:val="20"/>
        <w:szCs w:val="20"/>
      </w:rPr>
    </w:sdtEndPr>
    <w:sdtContent>
      <w:p w14:paraId="7CD193C3" w14:textId="32A5E08D" w:rsidR="00E063C1" w:rsidRPr="009B7FEE" w:rsidRDefault="00E063C1">
        <w:pPr>
          <w:pStyle w:val="Footer"/>
          <w:jc w:val="center"/>
          <w:rPr>
            <w:rFonts w:ascii="Century Gothic" w:hAnsi="Century Gothic" w:cs="Arial"/>
            <w:sz w:val="20"/>
            <w:szCs w:val="20"/>
          </w:rPr>
        </w:pPr>
        <w:r w:rsidRPr="009B7FEE">
          <w:rPr>
            <w:rFonts w:ascii="Century Gothic" w:hAnsi="Century Gothic" w:cs="Arial"/>
            <w:sz w:val="20"/>
            <w:szCs w:val="20"/>
          </w:rPr>
          <w:fldChar w:fldCharType="begin"/>
        </w:r>
        <w:r w:rsidRPr="009B7FEE">
          <w:rPr>
            <w:rFonts w:ascii="Century Gothic" w:hAnsi="Century Gothic" w:cs="Arial"/>
            <w:sz w:val="20"/>
            <w:szCs w:val="20"/>
          </w:rPr>
          <w:instrText xml:space="preserve"> PAGE   \* MERGEFORMAT </w:instrText>
        </w:r>
        <w:r w:rsidRPr="009B7FEE">
          <w:rPr>
            <w:rFonts w:ascii="Century Gothic" w:hAnsi="Century Gothic" w:cs="Arial"/>
            <w:sz w:val="20"/>
            <w:szCs w:val="20"/>
          </w:rPr>
          <w:fldChar w:fldCharType="separate"/>
        </w:r>
        <w:r w:rsidR="001775BA" w:rsidRPr="009B7FEE">
          <w:rPr>
            <w:rFonts w:ascii="Century Gothic" w:hAnsi="Century Gothic" w:cs="Arial"/>
            <w:noProof/>
            <w:sz w:val="20"/>
            <w:szCs w:val="20"/>
          </w:rPr>
          <w:t>5</w:t>
        </w:r>
        <w:r w:rsidRPr="009B7FEE">
          <w:rPr>
            <w:rFonts w:ascii="Century Gothic" w:hAnsi="Century Gothic" w:cs="Arial"/>
            <w:noProof/>
            <w:sz w:val="20"/>
            <w:szCs w:val="20"/>
          </w:rPr>
          <w:fldChar w:fldCharType="end"/>
        </w:r>
      </w:p>
    </w:sdtContent>
  </w:sdt>
  <w:p w14:paraId="4F25EA52" w14:textId="35798C51" w:rsidR="00490382" w:rsidRDefault="00E063C1" w:rsidP="00A42A3D">
    <w:pPr>
      <w:pStyle w:val="Footer"/>
      <w:jc w:val="center"/>
      <w:rPr>
        <w:rFonts w:ascii="Century Gothic" w:hAnsi="Century Gothic" w:cs="Arial"/>
        <w:sz w:val="20"/>
        <w:szCs w:val="20"/>
      </w:rPr>
    </w:pPr>
    <w:r w:rsidRPr="009B7FEE">
      <w:rPr>
        <w:rFonts w:ascii="Century Gothic" w:hAnsi="Century Gothic" w:cs="Arial"/>
        <w:sz w:val="20"/>
        <w:szCs w:val="20"/>
      </w:rPr>
      <w:t xml:space="preserve">Statement of Basis – </w:t>
    </w:r>
    <w:r w:rsidR="00A42A3D">
      <w:rPr>
        <w:rFonts w:ascii="Century Gothic" w:hAnsi="Century Gothic" w:cs="Arial"/>
        <w:sz w:val="20"/>
        <w:szCs w:val="20"/>
      </w:rPr>
      <w:t>North Antelope Hills</w:t>
    </w:r>
    <w:r w:rsidRPr="009B7FEE">
      <w:rPr>
        <w:rFonts w:ascii="Century Gothic" w:hAnsi="Century Gothic" w:cs="Arial"/>
        <w:sz w:val="20"/>
        <w:szCs w:val="20"/>
      </w:rPr>
      <w:t xml:space="preserve"> Aquifer Exemption Proposal</w:t>
    </w:r>
  </w:p>
  <w:p w14:paraId="4E58B8B6" w14:textId="22887099" w:rsidR="00A42A3D" w:rsidRPr="00A42A3D" w:rsidRDefault="00DF62B2" w:rsidP="00DF62B2">
    <w:pPr>
      <w:pStyle w:val="Footer"/>
      <w:rPr>
        <w:rFonts w:ascii="Century Gothic" w:hAnsi="Century Gothic" w:cs="Arial"/>
        <w:sz w:val="20"/>
        <w:szCs w:val="20"/>
      </w:rPr>
    </w:pPr>
    <w:r>
      <w:rPr>
        <w:rFonts w:ascii="Century Gothic" w:hAnsi="Century Gothic" w:cs="Arial"/>
        <w:sz w:val="20"/>
        <w:szCs w:val="20"/>
      </w:rPr>
      <w:tab/>
      <w:t>June</w:t>
    </w:r>
    <w:r w:rsidR="00496328">
      <w:rPr>
        <w:rFonts w:ascii="Century Gothic" w:hAnsi="Century Gothic" w:cs="Arial"/>
        <w:sz w:val="20"/>
        <w:szCs w:val="20"/>
      </w:rPr>
      <w:t xml:space="preserve"> </w:t>
    </w:r>
    <w:r w:rsidR="004171AE">
      <w:rPr>
        <w:rFonts w:ascii="Century Gothic" w:hAnsi="Century Gothic" w:cs="Arial"/>
        <w:sz w:val="20"/>
        <w:szCs w:val="20"/>
      </w:rPr>
      <w:t>1</w:t>
    </w:r>
    <w:r w:rsidR="00496328">
      <w:rPr>
        <w:rFonts w:ascii="Century Gothic" w:hAnsi="Century Gothic" w:cs="Arial"/>
        <w:sz w:val="20"/>
        <w:szCs w:val="20"/>
      </w:rPr>
      <w:t>,</w:t>
    </w:r>
    <w:r w:rsidR="00A42A3D" w:rsidRPr="001F32B1">
      <w:rPr>
        <w:rFonts w:ascii="Century Gothic" w:hAnsi="Century Gothic" w:cs="Arial"/>
        <w:sz w:val="20"/>
        <w:szCs w:val="20"/>
      </w:rPr>
      <w:t xml:space="preserve"> 202</w:t>
    </w:r>
    <w:r w:rsidR="00A42A3D">
      <w:rPr>
        <w:rFonts w:ascii="Century Gothic" w:hAnsi="Century Gothic" w:cs="Arial"/>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5DF3" w14:textId="77777777" w:rsidR="00DF62B2" w:rsidRDefault="00DF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1FDC" w14:textId="77777777" w:rsidR="00984C8C" w:rsidRDefault="00984C8C">
      <w:r>
        <w:separator/>
      </w:r>
    </w:p>
  </w:footnote>
  <w:footnote w:type="continuationSeparator" w:id="0">
    <w:p w14:paraId="25F0F13B" w14:textId="77777777" w:rsidR="00984C8C" w:rsidRDefault="00984C8C">
      <w:r>
        <w:continuationSeparator/>
      </w:r>
    </w:p>
  </w:footnote>
  <w:footnote w:type="continuationNotice" w:id="1">
    <w:p w14:paraId="21006727" w14:textId="77777777" w:rsidR="00984C8C" w:rsidRDefault="00984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0BC1" w14:textId="77777777" w:rsidR="00DF62B2" w:rsidRDefault="00DF6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A4CE" w14:textId="5562D71F" w:rsidR="00170DCE" w:rsidRDefault="00170DCE">
    <w:pPr>
      <w:pStyle w:val="Header"/>
    </w:pPr>
  </w:p>
  <w:p w14:paraId="4BE39DB2" w14:textId="7625A2E8" w:rsidR="00170DCE" w:rsidRDefault="00170DCE">
    <w:pPr>
      <w:pStyle w:val="Header"/>
    </w:pPr>
  </w:p>
  <w:p w14:paraId="1CE7980B" w14:textId="069FFC7B" w:rsidR="00170DCE" w:rsidRPr="00080DE6" w:rsidRDefault="00080DE6" w:rsidP="00080DE6">
    <w:pPr>
      <w:spacing w:before="37"/>
      <w:ind w:right="-30"/>
      <w:rPr>
        <w:rFonts w:ascii="Times New Roman" w:eastAsia="Calibri" w:hAnsi="Times New Roman" w:cs="Times New Roman"/>
      </w:rPr>
    </w:pPr>
    <w:r w:rsidRPr="009843CD">
      <w:rPr>
        <w:rFonts w:ascii="Times New Roman" w:hAnsi="Times New Roman" w:cs="Times New Roman"/>
        <w:noProof/>
      </w:rPr>
      <mc:AlternateContent>
        <mc:Choice Requires="wpg">
          <w:drawing>
            <wp:anchor distT="0" distB="0" distL="114300" distR="114300" simplePos="0" relativeHeight="251657216" behindDoc="1" locked="0" layoutInCell="1" allowOverlap="1" wp14:anchorId="6BFF7E0B" wp14:editId="27E1CA03">
              <wp:simplePos x="0" y="0"/>
              <wp:positionH relativeFrom="page">
                <wp:posOffset>781685</wp:posOffset>
              </wp:positionH>
              <wp:positionV relativeFrom="paragraph">
                <wp:posOffset>186690</wp:posOffset>
              </wp:positionV>
              <wp:extent cx="6191250" cy="1270"/>
              <wp:effectExtent l="10160" t="8890" r="8890" b="8890"/>
              <wp:wrapNone/>
              <wp:docPr id="4"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1270"/>
                        <a:chOff x="1231" y="294"/>
                        <a:chExt cx="9750" cy="2"/>
                      </a:xfrm>
                    </wpg:grpSpPr>
                    <wps:wsp>
                      <wps:cNvPr id="6" name="Freeform 3"/>
                      <wps:cNvSpPr>
                        <a:spLocks/>
                      </wps:cNvSpPr>
                      <wps:spPr bwMode="auto">
                        <a:xfrm>
                          <a:off x="1231" y="294"/>
                          <a:ext cx="9750" cy="2"/>
                        </a:xfrm>
                        <a:custGeom>
                          <a:avLst/>
                          <a:gdLst>
                            <a:gd name="T0" fmla="+- 0 1231 1231"/>
                            <a:gd name="T1" fmla="*/ T0 w 9750"/>
                            <a:gd name="T2" fmla="+- 0 10981 1231"/>
                            <a:gd name="T3" fmla="*/ T2 w 9750"/>
                          </a:gdLst>
                          <a:ahLst/>
                          <a:cxnLst>
                            <a:cxn ang="0">
                              <a:pos x="T1" y="0"/>
                            </a:cxn>
                            <a:cxn ang="0">
                              <a:pos x="T3" y="0"/>
                            </a:cxn>
                          </a:cxnLst>
                          <a:rect l="0" t="0" r="r" b="b"/>
                          <a:pathLst>
                            <a:path w="9750">
                              <a:moveTo>
                                <a:pt x="0" y="0"/>
                              </a:moveTo>
                              <a:lnTo>
                                <a:pt x="9750" y="0"/>
                              </a:lnTo>
                            </a:path>
                          </a:pathLst>
                        </a:custGeom>
                        <a:noFill/>
                        <a:ln w="12192">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0C996" id="Group 2" o:spid="_x0000_s1026" alt="&quot;&quot;" style="position:absolute;margin-left:61.55pt;margin-top:14.7pt;width:487.5pt;height:.1pt;z-index:-251659264;mso-position-horizontal-relative:page" coordorigin="1231,294" coordsize="9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EW9AIAANgGAAAOAAAAZHJzL2Uyb0RvYy54bWykVdtu2zAMfR+wfxD0uGH1peklRp1iaJti&#10;QLcVaPYBiiRfMFnSJCVO9/WjJDt10xUDuheHMqnDw0OaubjcdQJtubGtkiXOjlKMuKSKtbIu8Y/V&#10;8tM5RtYRyYhQkpf4kVt8uXj/7qLXBc9VowTjBgGItEWvS9w4p4sksbThHbFHSnMJzkqZjjg4mjph&#10;hvSA3okkT9PTpFeGaaMotxbeXkcnXgT8quLUfa8qyx0SJQZuLjxNeK79M1lckKI2RDctHWiQN7Do&#10;SCsh6R7qmjiCNqZ9AdW11CirKndEVZeoqmopDzVANVl6UM2tURsdaqmLvtZ7mUDaA53eDEu/bW+N&#10;ftD3JrIH807RnxZ0SXpdF1O/P9cxGK37r4pBP8nGqVD4rjKdh4CS0C7o+7jXl+8covDyNJtn+Qm0&#10;gYIvy88G+WkDPfKXsvw4wwh8+XwWO0Obm+Hu/Gy8mHtXQoqYMbAcWPmuwxjZJ6Xs/yn10BDNQwOs&#10;V+LeoJZBGRhJ0kHxS8O5H0107Cn53BA0ammnQk48PsyC3v+U8KUao46vaUEKurHulqvQCbK9sy7O&#10;NwMr9JcNzFfQhKoTMOofP6EU+VThMXwP+zBoRwz7kKBVinoUUg+gI1Y+BkWsdH7+d7DjMc6D5RMw&#10;aGY9UiTNyJru5EAbLET8QknDqGll/bSs4qyEIQIECPIlvhILucd5HGPj75DCwKY43BEGI9gR66iJ&#10;Js4z8ym8ifoSBy38i05t+UoFlzsYfkjy5BVyGhW7OGEV3XDDJwgjvk/quU5aK9WyFSK0QUhPJcuz&#10;eR7EsUq0zHs9HWvq9ZUwaEtg/S2XV2k6qvUsDNaMZAGt4YTdDLYjrYg2ZBcgLnxqcXTjrK8Ve4Qx&#10;NiouVfgTAKNR5jdGPSzUEttfG2I4RuKLhO9wns1mfgOHw+zkLIeDmXrWUw+RFKBK7DB03ptXLm7t&#10;jTZt3UCmLJQr1WfYQFXrBz3wi6yGA6yCYIX1Cdaz/Tw9h6inP6TFHwAAAP//AwBQSwMEFAAGAAgA&#10;AAAhAPxA9LHfAAAACgEAAA8AAABkcnMvZG93bnJldi54bWxMj0FLw0AQhe+C/2EZwZvdJNXSxmxK&#10;KeqpCLaCeNtmp0lodjZkt0n6752c7PG9+XjzXrYebSN67HztSEE8i0AgFc7UVCr4Prw/LUH4oMno&#10;xhEquKKHdX5/l+nUuIG+sN+HUnAI+VQrqEJoUyl9UaHVfuZaJL6dXGd1YNmV0nR64HDbyCSKFtLq&#10;mvhDpVvcVlic9xer4GPQw2Yev/W782l7/T28fP7sYlTq8WHcvIIIOIZ/GKb6XB1y7nR0FzJeNKyT&#10;ecyogmT1DGICotWSnePkLEDmmbydkP8BAAD//wMAUEsBAi0AFAAGAAgAAAAhALaDOJL+AAAA4QEA&#10;ABMAAAAAAAAAAAAAAAAAAAAAAFtDb250ZW50X1R5cGVzXS54bWxQSwECLQAUAAYACAAAACEAOP0h&#10;/9YAAACUAQAACwAAAAAAAAAAAAAAAAAvAQAAX3JlbHMvLnJlbHNQSwECLQAUAAYACAAAACEAVVkB&#10;FvQCAADYBgAADgAAAAAAAAAAAAAAAAAuAgAAZHJzL2Uyb0RvYy54bWxQSwECLQAUAAYACAAAACEA&#10;/ED0sd8AAAAKAQAADwAAAAAAAAAAAAAAAABOBQAAZHJzL2Rvd25yZXYueG1sUEsFBgAAAAAEAAQA&#10;8wAAAFoGAAAAAA==&#10;">
              <v:shape id="Freeform 3" o:spid="_x0000_s1027" style="position:absolute;left:1231;top:294;width:9750;height:2;visibility:visible;mso-wrap-style:square;v-text-anchor:top" coordsize="9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KOwgAAANoAAAAPAAAAZHJzL2Rvd25yZXYueG1sRI9Pi8Iw&#10;FMTvgt8hPMGbpq4ibtcoIqyIB8F/C94ezdum2LyUJmr99kYQPA4z8xtmOm9sKW5U+8KxgkE/AUGc&#10;OV1wruB4+O1NQPiArLF0TAoe5GE+a7emmGp35x3d9iEXEcI+RQUmhCqV0meGLPq+q4ij9+9qiyHK&#10;Ope6xnuE21J+JclYWiw4LhisaGkou+yvVkE+SkzmNt/D1VafLufHenW2iz+lup1m8QMiUBM+4Xd7&#10;rRWM4XUl3gA5ewIAAP//AwBQSwECLQAUAAYACAAAACEA2+H2y+4AAACFAQAAEwAAAAAAAAAAAAAA&#10;AAAAAAAAW0NvbnRlbnRfVHlwZXNdLnhtbFBLAQItABQABgAIAAAAIQBa9CxbvwAAABUBAAALAAAA&#10;AAAAAAAAAAAAAB8BAABfcmVscy8ucmVsc1BLAQItABQABgAIAAAAIQAzMTKOwgAAANoAAAAPAAAA&#10;AAAAAAAAAAAAAAcCAABkcnMvZG93bnJldi54bWxQSwUGAAAAAAMAAwC3AAAA9gIAAAAA&#10;" path="m,l9750,e" filled="f" strokecolor="#ffc000" strokeweight=".96pt">
                <v:path arrowok="t" o:connecttype="custom" o:connectlocs="0,0;9750,0" o:connectangles="0,0"/>
              </v:shape>
              <w10:wrap anchorx="page"/>
            </v:group>
          </w:pict>
        </mc:Fallback>
      </mc:AlternateContent>
    </w:r>
    <w:r>
      <w:rPr>
        <w:rFonts w:ascii="Times New Roman" w:hAnsi="Times New Roman" w:cs="Times New Roman"/>
        <w:color w:val="003399"/>
      </w:rPr>
      <w:t xml:space="preserve">State of California </w:t>
    </w:r>
    <w:r>
      <w:rPr>
        <w:rFonts w:ascii="Times New Roman" w:hAnsi="Times New Roman" w:cs="Times New Roman"/>
        <w:color w:val="003399"/>
      </w:rPr>
      <w:tab/>
    </w:r>
    <w:r>
      <w:rPr>
        <w:rFonts w:ascii="Times New Roman" w:hAnsi="Times New Roman" w:cs="Times New Roman"/>
        <w:color w:val="003399"/>
      </w:rPr>
      <w:tab/>
    </w:r>
    <w:r>
      <w:rPr>
        <w:rFonts w:ascii="Times New Roman" w:hAnsi="Times New Roman" w:cs="Times New Roman"/>
        <w:color w:val="003399"/>
      </w:rPr>
      <w:tab/>
      <w:t xml:space="preserve"> </w:t>
    </w:r>
    <w:r>
      <w:rPr>
        <w:rFonts w:ascii="Times New Roman" w:hAnsi="Times New Roman" w:cs="Times New Roman"/>
        <w:color w:val="003399"/>
      </w:rPr>
      <w:tab/>
    </w:r>
    <w:r>
      <w:rPr>
        <w:rFonts w:ascii="Times New Roman" w:hAnsi="Times New Roman" w:cs="Times New Roman"/>
        <w:color w:val="003399"/>
      </w:rPr>
      <w:tab/>
    </w:r>
    <w:r>
      <w:rPr>
        <w:rFonts w:ascii="Times New Roman" w:hAnsi="Times New Roman" w:cs="Times New Roman"/>
        <w:color w:val="003399"/>
      </w:rPr>
      <w:tab/>
    </w:r>
    <w:r>
      <w:rPr>
        <w:rFonts w:ascii="Times New Roman" w:hAnsi="Times New Roman" w:cs="Times New Roman"/>
        <w:color w:val="003399"/>
      </w:rPr>
      <w:tab/>
    </w:r>
    <w:r w:rsidR="008B10B3">
      <w:rPr>
        <w:rFonts w:ascii="Times New Roman" w:hAnsi="Times New Roman" w:cs="Times New Roman"/>
        <w:color w:val="003399"/>
      </w:rPr>
      <w:tab/>
      <w:t>Gavin Newsom</w:t>
    </w:r>
    <w:r>
      <w:rPr>
        <w:rFonts w:ascii="Times New Roman" w:hAnsi="Times New Roman" w:cs="Times New Roman"/>
        <w:color w:val="003399"/>
      </w:rPr>
      <w:t xml:space="preserve">, </w:t>
    </w:r>
    <w:r w:rsidRPr="009843CD">
      <w:rPr>
        <w:rFonts w:ascii="Times New Roman" w:hAnsi="Times New Roman" w:cs="Times New Roman"/>
        <w:i/>
        <w:color w:val="003399"/>
      </w:rPr>
      <w:t>Governor</w:t>
    </w:r>
  </w:p>
  <w:p w14:paraId="2690D582" w14:textId="77777777" w:rsidR="00170DCE" w:rsidRPr="00E063C1" w:rsidRDefault="00170DCE">
    <w:pPr>
      <w:pStyle w:val="Header"/>
      <w:rPr>
        <w:sz w:val="20"/>
        <w:szCs w:val="20"/>
      </w:rPr>
    </w:pPr>
  </w:p>
  <w:p w14:paraId="5EC02F5B" w14:textId="77777777" w:rsidR="00490382" w:rsidRDefault="004903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C96A" w14:textId="77777777" w:rsidR="00DF62B2" w:rsidRDefault="00DF6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48AA"/>
    <w:multiLevelType w:val="hybridMultilevel"/>
    <w:tmpl w:val="B8F8A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95518"/>
    <w:multiLevelType w:val="hybridMultilevel"/>
    <w:tmpl w:val="89AC04A4"/>
    <w:lvl w:ilvl="0" w:tplc="4782B0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C15A2"/>
    <w:multiLevelType w:val="hybridMultilevel"/>
    <w:tmpl w:val="37F875BA"/>
    <w:lvl w:ilvl="0" w:tplc="151C2F8A">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6382B"/>
    <w:multiLevelType w:val="hybridMultilevel"/>
    <w:tmpl w:val="ECE48FF2"/>
    <w:lvl w:ilvl="0" w:tplc="412CB27E">
      <w:start w:val="1"/>
      <w:numFmt w:val="decimal"/>
      <w:lvlText w:val="(%1)"/>
      <w:lvlJc w:val="left"/>
      <w:pPr>
        <w:ind w:left="1760" w:hanging="322"/>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C5465"/>
    <w:multiLevelType w:val="hybridMultilevel"/>
    <w:tmpl w:val="8146E06E"/>
    <w:lvl w:ilvl="0" w:tplc="606C627A">
      <w:start w:val="40"/>
      <w:numFmt w:val="decimal"/>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1BF6DD4"/>
    <w:multiLevelType w:val="hybridMultilevel"/>
    <w:tmpl w:val="A5A8B0F2"/>
    <w:lvl w:ilvl="0" w:tplc="41E2E8EA">
      <w:start w:val="1"/>
      <w:numFmt w:val="lowerLetter"/>
      <w:lvlText w:val="(%1)"/>
      <w:lvlJc w:val="left"/>
      <w:pPr>
        <w:ind w:left="720" w:hanging="360"/>
      </w:pPr>
      <w:rPr>
        <w:rFonts w:hint="default"/>
        <w:u w:val="none"/>
      </w:rPr>
    </w:lvl>
    <w:lvl w:ilvl="1" w:tplc="E662E610">
      <w:start w:val="1"/>
      <w:numFmt w:val="decimal"/>
      <w:lvlText w:val="(%2)"/>
      <w:lvlJc w:val="left"/>
      <w:pPr>
        <w:ind w:left="1440" w:hanging="360"/>
      </w:pPr>
      <w:rPr>
        <w:rFonts w:ascii="Century Gothic" w:eastAsia="Calibri" w:hAnsi="Century Gothic" w:cs="Arial" w:hint="default"/>
        <w:b w:val="0"/>
        <w:spacing w:val="-1"/>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03B26"/>
    <w:multiLevelType w:val="hybridMultilevel"/>
    <w:tmpl w:val="A762CF12"/>
    <w:lvl w:ilvl="0" w:tplc="9000EFE4">
      <w:start w:val="1"/>
      <w:numFmt w:val="decimal"/>
      <w:lvlText w:val="%1)"/>
      <w:lvlJc w:val="left"/>
      <w:pPr>
        <w:ind w:left="2120" w:hanging="3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7" w15:restartNumberingAfterBreak="0">
    <w:nsid w:val="16B677F7"/>
    <w:multiLevelType w:val="hybridMultilevel"/>
    <w:tmpl w:val="D4F2E39A"/>
    <w:lvl w:ilvl="0" w:tplc="9000EFE4">
      <w:start w:val="1"/>
      <w:numFmt w:val="decimal"/>
      <w:lvlText w:val="%1)"/>
      <w:lvlJc w:val="left"/>
      <w:pPr>
        <w:ind w:left="2120" w:hanging="3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8" w15:restartNumberingAfterBreak="0">
    <w:nsid w:val="1B374C9F"/>
    <w:multiLevelType w:val="hybridMultilevel"/>
    <w:tmpl w:val="CDACFE70"/>
    <w:lvl w:ilvl="0" w:tplc="9D3A3268">
      <w:start w:val="1"/>
      <w:numFmt w:val="lowerLetter"/>
      <w:lvlText w:val="(%1)"/>
      <w:lvlJc w:val="left"/>
      <w:pPr>
        <w:ind w:left="1354" w:hanging="315"/>
      </w:pPr>
      <w:rPr>
        <w:rFonts w:ascii="Calibri" w:eastAsia="Calibri" w:hAnsi="Calibri" w:hint="default"/>
        <w:spacing w:val="-1"/>
        <w:sz w:val="24"/>
        <w:szCs w:val="24"/>
      </w:rPr>
    </w:lvl>
    <w:lvl w:ilvl="1" w:tplc="412CB27E">
      <w:start w:val="1"/>
      <w:numFmt w:val="decimal"/>
      <w:lvlText w:val="(%2)"/>
      <w:lvlJc w:val="left"/>
      <w:pPr>
        <w:ind w:left="1760" w:hanging="322"/>
      </w:pPr>
      <w:rPr>
        <w:rFonts w:ascii="Calibri" w:eastAsia="Calibri" w:hAnsi="Calibri" w:hint="default"/>
        <w:spacing w:val="-1"/>
        <w:sz w:val="24"/>
        <w:szCs w:val="24"/>
      </w:rPr>
    </w:lvl>
    <w:lvl w:ilvl="2" w:tplc="1F0EC58C">
      <w:start w:val="1"/>
      <w:numFmt w:val="bullet"/>
      <w:lvlText w:val="•"/>
      <w:lvlJc w:val="left"/>
      <w:pPr>
        <w:ind w:left="2673" w:hanging="322"/>
      </w:pPr>
      <w:rPr>
        <w:rFonts w:hint="default"/>
      </w:rPr>
    </w:lvl>
    <w:lvl w:ilvl="3" w:tplc="05F4DC06">
      <w:start w:val="1"/>
      <w:numFmt w:val="bullet"/>
      <w:lvlText w:val="•"/>
      <w:lvlJc w:val="left"/>
      <w:pPr>
        <w:ind w:left="3586" w:hanging="322"/>
      </w:pPr>
      <w:rPr>
        <w:rFonts w:hint="default"/>
      </w:rPr>
    </w:lvl>
    <w:lvl w:ilvl="4" w:tplc="4A9A85F2">
      <w:start w:val="1"/>
      <w:numFmt w:val="bullet"/>
      <w:lvlText w:val="•"/>
      <w:lvlJc w:val="left"/>
      <w:pPr>
        <w:ind w:left="4500" w:hanging="322"/>
      </w:pPr>
      <w:rPr>
        <w:rFonts w:hint="default"/>
      </w:rPr>
    </w:lvl>
    <w:lvl w:ilvl="5" w:tplc="F79EF174">
      <w:start w:val="1"/>
      <w:numFmt w:val="bullet"/>
      <w:lvlText w:val="•"/>
      <w:lvlJc w:val="left"/>
      <w:pPr>
        <w:ind w:left="5413" w:hanging="322"/>
      </w:pPr>
      <w:rPr>
        <w:rFonts w:hint="default"/>
      </w:rPr>
    </w:lvl>
    <w:lvl w:ilvl="6" w:tplc="7E923BE8">
      <w:start w:val="1"/>
      <w:numFmt w:val="bullet"/>
      <w:lvlText w:val="•"/>
      <w:lvlJc w:val="left"/>
      <w:pPr>
        <w:ind w:left="6326" w:hanging="322"/>
      </w:pPr>
      <w:rPr>
        <w:rFonts w:hint="default"/>
      </w:rPr>
    </w:lvl>
    <w:lvl w:ilvl="7" w:tplc="C580662C">
      <w:start w:val="1"/>
      <w:numFmt w:val="bullet"/>
      <w:lvlText w:val="•"/>
      <w:lvlJc w:val="left"/>
      <w:pPr>
        <w:ind w:left="7240" w:hanging="322"/>
      </w:pPr>
      <w:rPr>
        <w:rFonts w:hint="default"/>
      </w:rPr>
    </w:lvl>
    <w:lvl w:ilvl="8" w:tplc="15385ED0">
      <w:start w:val="1"/>
      <w:numFmt w:val="bullet"/>
      <w:lvlText w:val="•"/>
      <w:lvlJc w:val="left"/>
      <w:pPr>
        <w:ind w:left="8153" w:hanging="322"/>
      </w:pPr>
      <w:rPr>
        <w:rFonts w:hint="default"/>
      </w:rPr>
    </w:lvl>
  </w:abstractNum>
  <w:abstractNum w:abstractNumId="9" w15:restartNumberingAfterBreak="0">
    <w:nsid w:val="1BF53BC7"/>
    <w:multiLevelType w:val="hybridMultilevel"/>
    <w:tmpl w:val="8EF822A8"/>
    <w:lvl w:ilvl="0" w:tplc="9000EFE4">
      <w:start w:val="2"/>
      <w:numFmt w:val="decimal"/>
      <w:lvlText w:val="%1)"/>
      <w:lvlJc w:val="left"/>
      <w:pPr>
        <w:ind w:left="2120" w:hanging="360"/>
      </w:pPr>
      <w:rPr>
        <w:rFonts w:hint="default"/>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0" w15:restartNumberingAfterBreak="0">
    <w:nsid w:val="1CA17F53"/>
    <w:multiLevelType w:val="hybridMultilevel"/>
    <w:tmpl w:val="934444EA"/>
    <w:lvl w:ilvl="0" w:tplc="E5687FE2">
      <w:start w:val="1"/>
      <w:numFmt w:val="decimal"/>
      <w:lvlText w:val="%1"/>
      <w:lvlJc w:val="left"/>
      <w:pPr>
        <w:ind w:left="2119" w:hanging="360"/>
      </w:pPr>
      <w:rPr>
        <w:rFonts w:hint="default"/>
      </w:rPr>
    </w:lvl>
    <w:lvl w:ilvl="1" w:tplc="04090019">
      <w:start w:val="1"/>
      <w:numFmt w:val="lowerLetter"/>
      <w:lvlText w:val="%2."/>
      <w:lvlJc w:val="left"/>
      <w:pPr>
        <w:ind w:left="2839" w:hanging="360"/>
      </w:pPr>
    </w:lvl>
    <w:lvl w:ilvl="2" w:tplc="0409001B" w:tentative="1">
      <w:start w:val="1"/>
      <w:numFmt w:val="lowerRoman"/>
      <w:lvlText w:val="%3."/>
      <w:lvlJc w:val="right"/>
      <w:pPr>
        <w:ind w:left="3559" w:hanging="180"/>
      </w:pPr>
    </w:lvl>
    <w:lvl w:ilvl="3" w:tplc="0409000F" w:tentative="1">
      <w:start w:val="1"/>
      <w:numFmt w:val="decimal"/>
      <w:lvlText w:val="%4."/>
      <w:lvlJc w:val="left"/>
      <w:pPr>
        <w:ind w:left="4279" w:hanging="360"/>
      </w:pPr>
    </w:lvl>
    <w:lvl w:ilvl="4" w:tplc="04090019" w:tentative="1">
      <w:start w:val="1"/>
      <w:numFmt w:val="lowerLetter"/>
      <w:lvlText w:val="%5."/>
      <w:lvlJc w:val="left"/>
      <w:pPr>
        <w:ind w:left="4999" w:hanging="360"/>
      </w:pPr>
    </w:lvl>
    <w:lvl w:ilvl="5" w:tplc="0409001B" w:tentative="1">
      <w:start w:val="1"/>
      <w:numFmt w:val="lowerRoman"/>
      <w:lvlText w:val="%6."/>
      <w:lvlJc w:val="right"/>
      <w:pPr>
        <w:ind w:left="5719" w:hanging="180"/>
      </w:pPr>
    </w:lvl>
    <w:lvl w:ilvl="6" w:tplc="0409000F" w:tentative="1">
      <w:start w:val="1"/>
      <w:numFmt w:val="decimal"/>
      <w:lvlText w:val="%7."/>
      <w:lvlJc w:val="left"/>
      <w:pPr>
        <w:ind w:left="6439" w:hanging="360"/>
      </w:pPr>
    </w:lvl>
    <w:lvl w:ilvl="7" w:tplc="04090019" w:tentative="1">
      <w:start w:val="1"/>
      <w:numFmt w:val="lowerLetter"/>
      <w:lvlText w:val="%8."/>
      <w:lvlJc w:val="left"/>
      <w:pPr>
        <w:ind w:left="7159" w:hanging="360"/>
      </w:pPr>
    </w:lvl>
    <w:lvl w:ilvl="8" w:tplc="0409001B" w:tentative="1">
      <w:start w:val="1"/>
      <w:numFmt w:val="lowerRoman"/>
      <w:lvlText w:val="%9."/>
      <w:lvlJc w:val="right"/>
      <w:pPr>
        <w:ind w:left="7879" w:hanging="180"/>
      </w:pPr>
    </w:lvl>
  </w:abstractNum>
  <w:abstractNum w:abstractNumId="11" w15:restartNumberingAfterBreak="0">
    <w:nsid w:val="1F21708E"/>
    <w:multiLevelType w:val="hybridMultilevel"/>
    <w:tmpl w:val="A6082D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E0559"/>
    <w:multiLevelType w:val="hybridMultilevel"/>
    <w:tmpl w:val="A0288CB8"/>
    <w:lvl w:ilvl="0" w:tplc="F28A46D2">
      <w:start w:val="1"/>
      <w:numFmt w:val="bullet"/>
      <w:lvlText w:val=""/>
      <w:lvlJc w:val="left"/>
      <w:pPr>
        <w:ind w:left="820" w:hanging="360"/>
      </w:pPr>
      <w:rPr>
        <w:rFonts w:ascii="Symbol" w:eastAsia="Symbol" w:hAnsi="Symbol" w:hint="default"/>
        <w:sz w:val="24"/>
        <w:szCs w:val="24"/>
      </w:rPr>
    </w:lvl>
    <w:lvl w:ilvl="1" w:tplc="6E10FE4C">
      <w:start w:val="1"/>
      <w:numFmt w:val="bullet"/>
      <w:lvlText w:val="•"/>
      <w:lvlJc w:val="left"/>
      <w:pPr>
        <w:ind w:left="1694" w:hanging="360"/>
      </w:pPr>
      <w:rPr>
        <w:rFonts w:hint="default"/>
      </w:rPr>
    </w:lvl>
    <w:lvl w:ilvl="2" w:tplc="359ADD54">
      <w:start w:val="1"/>
      <w:numFmt w:val="bullet"/>
      <w:lvlText w:val="•"/>
      <w:lvlJc w:val="left"/>
      <w:pPr>
        <w:ind w:left="2568" w:hanging="360"/>
      </w:pPr>
      <w:rPr>
        <w:rFonts w:hint="default"/>
      </w:rPr>
    </w:lvl>
    <w:lvl w:ilvl="3" w:tplc="8286BCCC">
      <w:start w:val="1"/>
      <w:numFmt w:val="bullet"/>
      <w:lvlText w:val="•"/>
      <w:lvlJc w:val="left"/>
      <w:pPr>
        <w:ind w:left="3442" w:hanging="360"/>
      </w:pPr>
      <w:rPr>
        <w:rFonts w:hint="default"/>
      </w:rPr>
    </w:lvl>
    <w:lvl w:ilvl="4" w:tplc="7C00ACDA">
      <w:start w:val="1"/>
      <w:numFmt w:val="bullet"/>
      <w:lvlText w:val="•"/>
      <w:lvlJc w:val="left"/>
      <w:pPr>
        <w:ind w:left="4316" w:hanging="360"/>
      </w:pPr>
      <w:rPr>
        <w:rFonts w:hint="default"/>
      </w:rPr>
    </w:lvl>
    <w:lvl w:ilvl="5" w:tplc="CF7EAE22">
      <w:start w:val="1"/>
      <w:numFmt w:val="bullet"/>
      <w:lvlText w:val="•"/>
      <w:lvlJc w:val="left"/>
      <w:pPr>
        <w:ind w:left="5190" w:hanging="360"/>
      </w:pPr>
      <w:rPr>
        <w:rFonts w:hint="default"/>
      </w:rPr>
    </w:lvl>
    <w:lvl w:ilvl="6" w:tplc="EE6C4B3A">
      <w:start w:val="1"/>
      <w:numFmt w:val="bullet"/>
      <w:lvlText w:val="•"/>
      <w:lvlJc w:val="left"/>
      <w:pPr>
        <w:ind w:left="6064" w:hanging="360"/>
      </w:pPr>
      <w:rPr>
        <w:rFonts w:hint="default"/>
      </w:rPr>
    </w:lvl>
    <w:lvl w:ilvl="7" w:tplc="3EBE89EE">
      <w:start w:val="1"/>
      <w:numFmt w:val="bullet"/>
      <w:lvlText w:val="•"/>
      <w:lvlJc w:val="left"/>
      <w:pPr>
        <w:ind w:left="6938" w:hanging="360"/>
      </w:pPr>
      <w:rPr>
        <w:rFonts w:hint="default"/>
      </w:rPr>
    </w:lvl>
    <w:lvl w:ilvl="8" w:tplc="DB3E8A72">
      <w:start w:val="1"/>
      <w:numFmt w:val="bullet"/>
      <w:lvlText w:val="•"/>
      <w:lvlJc w:val="left"/>
      <w:pPr>
        <w:ind w:left="7812" w:hanging="360"/>
      </w:pPr>
      <w:rPr>
        <w:rFonts w:hint="default"/>
      </w:rPr>
    </w:lvl>
  </w:abstractNum>
  <w:abstractNum w:abstractNumId="13" w15:restartNumberingAfterBreak="0">
    <w:nsid w:val="20493940"/>
    <w:multiLevelType w:val="hybridMultilevel"/>
    <w:tmpl w:val="DBAE63CE"/>
    <w:lvl w:ilvl="0" w:tplc="987A17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35C62"/>
    <w:multiLevelType w:val="hybridMultilevel"/>
    <w:tmpl w:val="A49A21BC"/>
    <w:lvl w:ilvl="0" w:tplc="D696D2A6">
      <w:start w:val="2"/>
      <w:numFmt w:val="lowerLetter"/>
      <w:lvlText w:val="%1)"/>
      <w:lvlJc w:val="left"/>
      <w:pPr>
        <w:ind w:left="1399" w:hanging="360"/>
      </w:pPr>
      <w:rPr>
        <w:rFonts w:hint="default"/>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15" w15:restartNumberingAfterBreak="0">
    <w:nsid w:val="3394760F"/>
    <w:multiLevelType w:val="hybridMultilevel"/>
    <w:tmpl w:val="CDACFE70"/>
    <w:lvl w:ilvl="0" w:tplc="9D3A3268">
      <w:start w:val="1"/>
      <w:numFmt w:val="lowerLetter"/>
      <w:lvlText w:val="(%1)"/>
      <w:lvlJc w:val="left"/>
      <w:pPr>
        <w:ind w:left="1354" w:hanging="315"/>
      </w:pPr>
      <w:rPr>
        <w:rFonts w:ascii="Calibri" w:eastAsia="Calibri" w:hAnsi="Calibri" w:hint="default"/>
        <w:spacing w:val="-1"/>
        <w:sz w:val="24"/>
        <w:szCs w:val="24"/>
      </w:rPr>
    </w:lvl>
    <w:lvl w:ilvl="1" w:tplc="412CB27E">
      <w:start w:val="1"/>
      <w:numFmt w:val="decimal"/>
      <w:lvlText w:val="(%2)"/>
      <w:lvlJc w:val="left"/>
      <w:pPr>
        <w:ind w:left="1760" w:hanging="322"/>
      </w:pPr>
      <w:rPr>
        <w:rFonts w:ascii="Calibri" w:eastAsia="Calibri" w:hAnsi="Calibri" w:hint="default"/>
        <w:spacing w:val="-1"/>
        <w:sz w:val="24"/>
        <w:szCs w:val="24"/>
      </w:rPr>
    </w:lvl>
    <w:lvl w:ilvl="2" w:tplc="1F0EC58C">
      <w:start w:val="1"/>
      <w:numFmt w:val="bullet"/>
      <w:lvlText w:val="•"/>
      <w:lvlJc w:val="left"/>
      <w:pPr>
        <w:ind w:left="2673" w:hanging="322"/>
      </w:pPr>
      <w:rPr>
        <w:rFonts w:hint="default"/>
      </w:rPr>
    </w:lvl>
    <w:lvl w:ilvl="3" w:tplc="05F4DC06">
      <w:start w:val="1"/>
      <w:numFmt w:val="bullet"/>
      <w:lvlText w:val="•"/>
      <w:lvlJc w:val="left"/>
      <w:pPr>
        <w:ind w:left="3586" w:hanging="322"/>
      </w:pPr>
      <w:rPr>
        <w:rFonts w:hint="default"/>
      </w:rPr>
    </w:lvl>
    <w:lvl w:ilvl="4" w:tplc="4A9A85F2">
      <w:start w:val="1"/>
      <w:numFmt w:val="bullet"/>
      <w:lvlText w:val="•"/>
      <w:lvlJc w:val="left"/>
      <w:pPr>
        <w:ind w:left="4500" w:hanging="322"/>
      </w:pPr>
      <w:rPr>
        <w:rFonts w:hint="default"/>
      </w:rPr>
    </w:lvl>
    <w:lvl w:ilvl="5" w:tplc="F79EF174">
      <w:start w:val="1"/>
      <w:numFmt w:val="bullet"/>
      <w:lvlText w:val="•"/>
      <w:lvlJc w:val="left"/>
      <w:pPr>
        <w:ind w:left="5413" w:hanging="322"/>
      </w:pPr>
      <w:rPr>
        <w:rFonts w:hint="default"/>
      </w:rPr>
    </w:lvl>
    <w:lvl w:ilvl="6" w:tplc="7E923BE8">
      <w:start w:val="1"/>
      <w:numFmt w:val="bullet"/>
      <w:lvlText w:val="•"/>
      <w:lvlJc w:val="left"/>
      <w:pPr>
        <w:ind w:left="6326" w:hanging="322"/>
      </w:pPr>
      <w:rPr>
        <w:rFonts w:hint="default"/>
      </w:rPr>
    </w:lvl>
    <w:lvl w:ilvl="7" w:tplc="C580662C">
      <w:start w:val="1"/>
      <w:numFmt w:val="bullet"/>
      <w:lvlText w:val="•"/>
      <w:lvlJc w:val="left"/>
      <w:pPr>
        <w:ind w:left="7240" w:hanging="322"/>
      </w:pPr>
      <w:rPr>
        <w:rFonts w:hint="default"/>
      </w:rPr>
    </w:lvl>
    <w:lvl w:ilvl="8" w:tplc="15385ED0">
      <w:start w:val="1"/>
      <w:numFmt w:val="bullet"/>
      <w:lvlText w:val="•"/>
      <w:lvlJc w:val="left"/>
      <w:pPr>
        <w:ind w:left="8153" w:hanging="322"/>
      </w:pPr>
      <w:rPr>
        <w:rFonts w:hint="default"/>
      </w:rPr>
    </w:lvl>
  </w:abstractNum>
  <w:abstractNum w:abstractNumId="16" w15:restartNumberingAfterBreak="0">
    <w:nsid w:val="39E37D65"/>
    <w:multiLevelType w:val="hybridMultilevel"/>
    <w:tmpl w:val="A71C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009D6"/>
    <w:multiLevelType w:val="hybridMultilevel"/>
    <w:tmpl w:val="2F80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46775"/>
    <w:multiLevelType w:val="hybridMultilevel"/>
    <w:tmpl w:val="86A031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AF590F"/>
    <w:multiLevelType w:val="hybridMultilevel"/>
    <w:tmpl w:val="61C4391C"/>
    <w:lvl w:ilvl="0" w:tplc="16EE2096">
      <w:start w:val="4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16BE8"/>
    <w:multiLevelType w:val="hybridMultilevel"/>
    <w:tmpl w:val="66D209A4"/>
    <w:lvl w:ilvl="0" w:tplc="29ECC444">
      <w:start w:val="1"/>
      <w:numFmt w:val="decimal"/>
      <w:lvlText w:val="(%1)"/>
      <w:lvlJc w:val="left"/>
      <w:pPr>
        <w:ind w:left="1040" w:hanging="322"/>
      </w:pPr>
      <w:rPr>
        <w:rFonts w:ascii="Calibri" w:eastAsia="Calibri" w:hAnsi="Calibri" w:hint="default"/>
        <w:spacing w:val="-1"/>
        <w:sz w:val="24"/>
        <w:szCs w:val="24"/>
      </w:rPr>
    </w:lvl>
    <w:lvl w:ilvl="1" w:tplc="F0BE578E">
      <w:start w:val="1"/>
      <w:numFmt w:val="bullet"/>
      <w:lvlText w:val="•"/>
      <w:lvlJc w:val="left"/>
      <w:pPr>
        <w:ind w:left="1934" w:hanging="322"/>
      </w:pPr>
      <w:rPr>
        <w:rFonts w:hint="default"/>
      </w:rPr>
    </w:lvl>
    <w:lvl w:ilvl="2" w:tplc="3B9C3E28">
      <w:start w:val="1"/>
      <w:numFmt w:val="bullet"/>
      <w:lvlText w:val="•"/>
      <w:lvlJc w:val="left"/>
      <w:pPr>
        <w:ind w:left="2828" w:hanging="322"/>
      </w:pPr>
      <w:rPr>
        <w:rFonts w:hint="default"/>
      </w:rPr>
    </w:lvl>
    <w:lvl w:ilvl="3" w:tplc="1280285E">
      <w:start w:val="1"/>
      <w:numFmt w:val="bullet"/>
      <w:lvlText w:val="•"/>
      <w:lvlJc w:val="left"/>
      <w:pPr>
        <w:ind w:left="3722" w:hanging="322"/>
      </w:pPr>
      <w:rPr>
        <w:rFonts w:hint="default"/>
      </w:rPr>
    </w:lvl>
    <w:lvl w:ilvl="4" w:tplc="112ADD02">
      <w:start w:val="1"/>
      <w:numFmt w:val="bullet"/>
      <w:lvlText w:val="•"/>
      <w:lvlJc w:val="left"/>
      <w:pPr>
        <w:ind w:left="4616" w:hanging="322"/>
      </w:pPr>
      <w:rPr>
        <w:rFonts w:hint="default"/>
      </w:rPr>
    </w:lvl>
    <w:lvl w:ilvl="5" w:tplc="3D368B5E">
      <w:start w:val="1"/>
      <w:numFmt w:val="bullet"/>
      <w:lvlText w:val="•"/>
      <w:lvlJc w:val="left"/>
      <w:pPr>
        <w:ind w:left="5510" w:hanging="322"/>
      </w:pPr>
      <w:rPr>
        <w:rFonts w:hint="default"/>
      </w:rPr>
    </w:lvl>
    <w:lvl w:ilvl="6" w:tplc="1A28E2A2">
      <w:start w:val="1"/>
      <w:numFmt w:val="bullet"/>
      <w:lvlText w:val="•"/>
      <w:lvlJc w:val="left"/>
      <w:pPr>
        <w:ind w:left="6404" w:hanging="322"/>
      </w:pPr>
      <w:rPr>
        <w:rFonts w:hint="default"/>
      </w:rPr>
    </w:lvl>
    <w:lvl w:ilvl="7" w:tplc="EA36CA24">
      <w:start w:val="1"/>
      <w:numFmt w:val="bullet"/>
      <w:lvlText w:val="•"/>
      <w:lvlJc w:val="left"/>
      <w:pPr>
        <w:ind w:left="7298" w:hanging="322"/>
      </w:pPr>
      <w:rPr>
        <w:rFonts w:hint="default"/>
      </w:rPr>
    </w:lvl>
    <w:lvl w:ilvl="8" w:tplc="4DEA62A8">
      <w:start w:val="1"/>
      <w:numFmt w:val="bullet"/>
      <w:lvlText w:val="•"/>
      <w:lvlJc w:val="left"/>
      <w:pPr>
        <w:ind w:left="8192" w:hanging="322"/>
      </w:pPr>
      <w:rPr>
        <w:rFonts w:hint="default"/>
      </w:rPr>
    </w:lvl>
  </w:abstractNum>
  <w:abstractNum w:abstractNumId="21" w15:restartNumberingAfterBreak="0">
    <w:nsid w:val="4DD93079"/>
    <w:multiLevelType w:val="hybridMultilevel"/>
    <w:tmpl w:val="B9BE5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84938"/>
    <w:multiLevelType w:val="hybridMultilevel"/>
    <w:tmpl w:val="CCC4F89A"/>
    <w:lvl w:ilvl="0" w:tplc="41E2E8EA">
      <w:start w:val="1"/>
      <w:numFmt w:val="lowerLetter"/>
      <w:lvlText w:val="(%1)"/>
      <w:lvlJc w:val="left"/>
      <w:pPr>
        <w:ind w:left="1080" w:hanging="360"/>
      </w:pPr>
      <w:rPr>
        <w:rFonts w:hint="default"/>
        <w:u w:val="none"/>
      </w:rPr>
    </w:lvl>
    <w:lvl w:ilvl="1" w:tplc="0409000F">
      <w:start w:val="1"/>
      <w:numFmt w:val="decimal"/>
      <w:lvlText w:val="%2."/>
      <w:lvlJc w:val="left"/>
      <w:pPr>
        <w:ind w:left="1800" w:hanging="360"/>
      </w:pPr>
    </w:lvl>
    <w:lvl w:ilvl="2" w:tplc="31D639B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E47436"/>
    <w:multiLevelType w:val="multilevel"/>
    <w:tmpl w:val="0BD2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FA55A3"/>
    <w:multiLevelType w:val="hybridMultilevel"/>
    <w:tmpl w:val="44A24ACA"/>
    <w:lvl w:ilvl="0" w:tplc="41E2E8EA">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79691E"/>
    <w:multiLevelType w:val="hybridMultilevel"/>
    <w:tmpl w:val="D7B263A2"/>
    <w:lvl w:ilvl="0" w:tplc="27D0C1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067EB"/>
    <w:multiLevelType w:val="hybridMultilevel"/>
    <w:tmpl w:val="C43A9C82"/>
    <w:lvl w:ilvl="0" w:tplc="EA7674BC">
      <w:start w:val="2"/>
      <w:numFmt w:val="lowerLetter"/>
      <w:lvlText w:val="(%1)"/>
      <w:lvlJc w:val="left"/>
      <w:pPr>
        <w:ind w:left="1399" w:hanging="360"/>
      </w:pPr>
      <w:rPr>
        <w:rFonts w:hint="default"/>
      </w:rPr>
    </w:lvl>
    <w:lvl w:ilvl="1" w:tplc="04090019">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27" w15:restartNumberingAfterBreak="0">
    <w:nsid w:val="6E6C7323"/>
    <w:multiLevelType w:val="hybridMultilevel"/>
    <w:tmpl w:val="66D209A4"/>
    <w:lvl w:ilvl="0" w:tplc="29ECC444">
      <w:start w:val="1"/>
      <w:numFmt w:val="decimal"/>
      <w:lvlText w:val="(%1)"/>
      <w:lvlJc w:val="left"/>
      <w:pPr>
        <w:ind w:left="1040" w:hanging="322"/>
      </w:pPr>
      <w:rPr>
        <w:rFonts w:ascii="Calibri" w:eastAsia="Calibri" w:hAnsi="Calibri" w:hint="default"/>
        <w:spacing w:val="-1"/>
        <w:sz w:val="24"/>
        <w:szCs w:val="24"/>
      </w:rPr>
    </w:lvl>
    <w:lvl w:ilvl="1" w:tplc="F0BE578E">
      <w:start w:val="1"/>
      <w:numFmt w:val="bullet"/>
      <w:lvlText w:val="•"/>
      <w:lvlJc w:val="left"/>
      <w:pPr>
        <w:ind w:left="1934" w:hanging="322"/>
      </w:pPr>
      <w:rPr>
        <w:rFonts w:hint="default"/>
      </w:rPr>
    </w:lvl>
    <w:lvl w:ilvl="2" w:tplc="3B9C3E28">
      <w:start w:val="1"/>
      <w:numFmt w:val="bullet"/>
      <w:lvlText w:val="•"/>
      <w:lvlJc w:val="left"/>
      <w:pPr>
        <w:ind w:left="2828" w:hanging="322"/>
      </w:pPr>
      <w:rPr>
        <w:rFonts w:hint="default"/>
      </w:rPr>
    </w:lvl>
    <w:lvl w:ilvl="3" w:tplc="1280285E">
      <w:start w:val="1"/>
      <w:numFmt w:val="bullet"/>
      <w:lvlText w:val="•"/>
      <w:lvlJc w:val="left"/>
      <w:pPr>
        <w:ind w:left="3722" w:hanging="322"/>
      </w:pPr>
      <w:rPr>
        <w:rFonts w:hint="default"/>
      </w:rPr>
    </w:lvl>
    <w:lvl w:ilvl="4" w:tplc="112ADD02">
      <w:start w:val="1"/>
      <w:numFmt w:val="bullet"/>
      <w:lvlText w:val="•"/>
      <w:lvlJc w:val="left"/>
      <w:pPr>
        <w:ind w:left="4616" w:hanging="322"/>
      </w:pPr>
      <w:rPr>
        <w:rFonts w:hint="default"/>
      </w:rPr>
    </w:lvl>
    <w:lvl w:ilvl="5" w:tplc="3D368B5E">
      <w:start w:val="1"/>
      <w:numFmt w:val="bullet"/>
      <w:lvlText w:val="•"/>
      <w:lvlJc w:val="left"/>
      <w:pPr>
        <w:ind w:left="5510" w:hanging="322"/>
      </w:pPr>
      <w:rPr>
        <w:rFonts w:hint="default"/>
      </w:rPr>
    </w:lvl>
    <w:lvl w:ilvl="6" w:tplc="1A28E2A2">
      <w:start w:val="1"/>
      <w:numFmt w:val="bullet"/>
      <w:lvlText w:val="•"/>
      <w:lvlJc w:val="left"/>
      <w:pPr>
        <w:ind w:left="6404" w:hanging="322"/>
      </w:pPr>
      <w:rPr>
        <w:rFonts w:hint="default"/>
      </w:rPr>
    </w:lvl>
    <w:lvl w:ilvl="7" w:tplc="EA36CA24">
      <w:start w:val="1"/>
      <w:numFmt w:val="bullet"/>
      <w:lvlText w:val="•"/>
      <w:lvlJc w:val="left"/>
      <w:pPr>
        <w:ind w:left="7298" w:hanging="322"/>
      </w:pPr>
      <w:rPr>
        <w:rFonts w:hint="default"/>
      </w:rPr>
    </w:lvl>
    <w:lvl w:ilvl="8" w:tplc="4DEA62A8">
      <w:start w:val="1"/>
      <w:numFmt w:val="bullet"/>
      <w:lvlText w:val="•"/>
      <w:lvlJc w:val="left"/>
      <w:pPr>
        <w:ind w:left="8192" w:hanging="322"/>
      </w:pPr>
      <w:rPr>
        <w:rFonts w:hint="default"/>
      </w:rPr>
    </w:lvl>
  </w:abstractNum>
  <w:abstractNum w:abstractNumId="28" w15:restartNumberingAfterBreak="0">
    <w:nsid w:val="71AD4383"/>
    <w:multiLevelType w:val="hybridMultilevel"/>
    <w:tmpl w:val="C926489E"/>
    <w:lvl w:ilvl="0" w:tplc="26968B98">
      <w:start w:val="1"/>
      <w:numFmt w:val="decimal"/>
      <w:lvlText w:val="(%1)"/>
      <w:lvlJc w:val="left"/>
      <w:pPr>
        <w:ind w:left="1907" w:hanging="322"/>
      </w:pPr>
      <w:rPr>
        <w:rFonts w:ascii="Arial" w:eastAsia="Calibri" w:hAnsi="Arial" w:cs="Arial" w:hint="default"/>
        <w:b w:val="0"/>
        <w:spacing w:val="-1"/>
        <w:sz w:val="22"/>
        <w:szCs w:val="22"/>
      </w:rPr>
    </w:lvl>
    <w:lvl w:ilvl="1" w:tplc="F0BE578E">
      <w:start w:val="1"/>
      <w:numFmt w:val="bullet"/>
      <w:lvlText w:val="•"/>
      <w:lvlJc w:val="left"/>
      <w:pPr>
        <w:ind w:left="2801" w:hanging="322"/>
      </w:pPr>
      <w:rPr>
        <w:rFonts w:hint="default"/>
      </w:rPr>
    </w:lvl>
    <w:lvl w:ilvl="2" w:tplc="3B9C3E28">
      <w:start w:val="1"/>
      <w:numFmt w:val="bullet"/>
      <w:lvlText w:val="•"/>
      <w:lvlJc w:val="left"/>
      <w:pPr>
        <w:ind w:left="3695" w:hanging="322"/>
      </w:pPr>
      <w:rPr>
        <w:rFonts w:hint="default"/>
      </w:rPr>
    </w:lvl>
    <w:lvl w:ilvl="3" w:tplc="1280285E">
      <w:start w:val="1"/>
      <w:numFmt w:val="bullet"/>
      <w:lvlText w:val="•"/>
      <w:lvlJc w:val="left"/>
      <w:pPr>
        <w:ind w:left="4589" w:hanging="322"/>
      </w:pPr>
      <w:rPr>
        <w:rFonts w:hint="default"/>
      </w:rPr>
    </w:lvl>
    <w:lvl w:ilvl="4" w:tplc="112ADD02">
      <w:start w:val="1"/>
      <w:numFmt w:val="bullet"/>
      <w:lvlText w:val="•"/>
      <w:lvlJc w:val="left"/>
      <w:pPr>
        <w:ind w:left="5483" w:hanging="322"/>
      </w:pPr>
      <w:rPr>
        <w:rFonts w:hint="default"/>
      </w:rPr>
    </w:lvl>
    <w:lvl w:ilvl="5" w:tplc="3D368B5E">
      <w:start w:val="1"/>
      <w:numFmt w:val="bullet"/>
      <w:lvlText w:val="•"/>
      <w:lvlJc w:val="left"/>
      <w:pPr>
        <w:ind w:left="6377" w:hanging="322"/>
      </w:pPr>
      <w:rPr>
        <w:rFonts w:hint="default"/>
      </w:rPr>
    </w:lvl>
    <w:lvl w:ilvl="6" w:tplc="1A28E2A2">
      <w:start w:val="1"/>
      <w:numFmt w:val="bullet"/>
      <w:lvlText w:val="•"/>
      <w:lvlJc w:val="left"/>
      <w:pPr>
        <w:ind w:left="7271" w:hanging="322"/>
      </w:pPr>
      <w:rPr>
        <w:rFonts w:hint="default"/>
      </w:rPr>
    </w:lvl>
    <w:lvl w:ilvl="7" w:tplc="EA36CA24">
      <w:start w:val="1"/>
      <w:numFmt w:val="bullet"/>
      <w:lvlText w:val="•"/>
      <w:lvlJc w:val="left"/>
      <w:pPr>
        <w:ind w:left="8165" w:hanging="322"/>
      </w:pPr>
      <w:rPr>
        <w:rFonts w:hint="default"/>
      </w:rPr>
    </w:lvl>
    <w:lvl w:ilvl="8" w:tplc="4DEA62A8">
      <w:start w:val="1"/>
      <w:numFmt w:val="bullet"/>
      <w:lvlText w:val="•"/>
      <w:lvlJc w:val="left"/>
      <w:pPr>
        <w:ind w:left="9059" w:hanging="322"/>
      </w:pPr>
      <w:rPr>
        <w:rFonts w:hint="default"/>
      </w:rPr>
    </w:lvl>
  </w:abstractNum>
  <w:abstractNum w:abstractNumId="29" w15:restartNumberingAfterBreak="0">
    <w:nsid w:val="73555E06"/>
    <w:multiLevelType w:val="hybridMultilevel"/>
    <w:tmpl w:val="9EB6315A"/>
    <w:lvl w:ilvl="0" w:tplc="9F283EA8">
      <w:start w:val="1"/>
      <w:numFmt w:val="decimal"/>
      <w:lvlText w:val="%1)"/>
      <w:lvlJc w:val="left"/>
      <w:pPr>
        <w:ind w:left="840" w:hanging="360"/>
      </w:pPr>
      <w:rPr>
        <w:rFonts w:ascii="Calibri" w:eastAsia="Calibri" w:hAnsi="Calibri" w:hint="default"/>
        <w:sz w:val="24"/>
        <w:szCs w:val="24"/>
      </w:rPr>
    </w:lvl>
    <w:lvl w:ilvl="1" w:tplc="18B092AA">
      <w:start w:val="1"/>
      <w:numFmt w:val="bullet"/>
      <w:lvlText w:val="•"/>
      <w:lvlJc w:val="left"/>
      <w:pPr>
        <w:ind w:left="1710" w:hanging="360"/>
      </w:pPr>
      <w:rPr>
        <w:rFonts w:hint="default"/>
      </w:rPr>
    </w:lvl>
    <w:lvl w:ilvl="2" w:tplc="27FC7A62">
      <w:start w:val="1"/>
      <w:numFmt w:val="bullet"/>
      <w:lvlText w:val="•"/>
      <w:lvlJc w:val="left"/>
      <w:pPr>
        <w:ind w:left="2580" w:hanging="360"/>
      </w:pPr>
      <w:rPr>
        <w:rFonts w:hint="default"/>
      </w:rPr>
    </w:lvl>
    <w:lvl w:ilvl="3" w:tplc="9BC0A430">
      <w:start w:val="1"/>
      <w:numFmt w:val="bullet"/>
      <w:lvlText w:val="•"/>
      <w:lvlJc w:val="left"/>
      <w:pPr>
        <w:ind w:left="3450" w:hanging="360"/>
      </w:pPr>
      <w:rPr>
        <w:rFonts w:hint="default"/>
      </w:rPr>
    </w:lvl>
    <w:lvl w:ilvl="4" w:tplc="6F28CB2E">
      <w:start w:val="1"/>
      <w:numFmt w:val="bullet"/>
      <w:lvlText w:val="•"/>
      <w:lvlJc w:val="left"/>
      <w:pPr>
        <w:ind w:left="4320" w:hanging="360"/>
      </w:pPr>
      <w:rPr>
        <w:rFonts w:hint="default"/>
      </w:rPr>
    </w:lvl>
    <w:lvl w:ilvl="5" w:tplc="1A2686CA">
      <w:start w:val="1"/>
      <w:numFmt w:val="bullet"/>
      <w:lvlText w:val="•"/>
      <w:lvlJc w:val="left"/>
      <w:pPr>
        <w:ind w:left="5190" w:hanging="360"/>
      </w:pPr>
      <w:rPr>
        <w:rFonts w:hint="default"/>
      </w:rPr>
    </w:lvl>
    <w:lvl w:ilvl="6" w:tplc="5246C87C">
      <w:start w:val="1"/>
      <w:numFmt w:val="bullet"/>
      <w:lvlText w:val="•"/>
      <w:lvlJc w:val="left"/>
      <w:pPr>
        <w:ind w:left="6060" w:hanging="360"/>
      </w:pPr>
      <w:rPr>
        <w:rFonts w:hint="default"/>
      </w:rPr>
    </w:lvl>
    <w:lvl w:ilvl="7" w:tplc="F9CA5124">
      <w:start w:val="1"/>
      <w:numFmt w:val="bullet"/>
      <w:lvlText w:val="•"/>
      <w:lvlJc w:val="left"/>
      <w:pPr>
        <w:ind w:left="6930" w:hanging="360"/>
      </w:pPr>
      <w:rPr>
        <w:rFonts w:hint="default"/>
      </w:rPr>
    </w:lvl>
    <w:lvl w:ilvl="8" w:tplc="38E8A8EE">
      <w:start w:val="1"/>
      <w:numFmt w:val="bullet"/>
      <w:lvlText w:val="•"/>
      <w:lvlJc w:val="left"/>
      <w:pPr>
        <w:ind w:left="7800" w:hanging="360"/>
      </w:pPr>
      <w:rPr>
        <w:rFonts w:hint="default"/>
      </w:rPr>
    </w:lvl>
  </w:abstractNum>
  <w:abstractNum w:abstractNumId="30" w15:restartNumberingAfterBreak="0">
    <w:nsid w:val="7543607E"/>
    <w:multiLevelType w:val="hybridMultilevel"/>
    <w:tmpl w:val="4F0A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85BE0"/>
    <w:multiLevelType w:val="hybridMultilevel"/>
    <w:tmpl w:val="C2EA35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7E6113"/>
    <w:multiLevelType w:val="hybridMultilevel"/>
    <w:tmpl w:val="205CE2A2"/>
    <w:lvl w:ilvl="0" w:tplc="8F44BE46">
      <w:start w:val="4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648547">
    <w:abstractNumId w:val="15"/>
  </w:num>
  <w:num w:numId="2" w16cid:durableId="726221164">
    <w:abstractNumId w:val="29"/>
  </w:num>
  <w:num w:numId="3" w16cid:durableId="563028271">
    <w:abstractNumId w:val="12"/>
  </w:num>
  <w:num w:numId="4" w16cid:durableId="969627797">
    <w:abstractNumId w:val="28"/>
  </w:num>
  <w:num w:numId="5" w16cid:durableId="356082078">
    <w:abstractNumId w:val="8"/>
  </w:num>
  <w:num w:numId="6" w16cid:durableId="1209761694">
    <w:abstractNumId w:val="14"/>
  </w:num>
  <w:num w:numId="7" w16cid:durableId="1366567051">
    <w:abstractNumId w:val="7"/>
  </w:num>
  <w:num w:numId="8" w16cid:durableId="1340500230">
    <w:abstractNumId w:val="6"/>
  </w:num>
  <w:num w:numId="9" w16cid:durableId="1725713979">
    <w:abstractNumId w:val="9"/>
  </w:num>
  <w:num w:numId="10" w16cid:durableId="767458915">
    <w:abstractNumId w:val="27"/>
  </w:num>
  <w:num w:numId="11" w16cid:durableId="267547651">
    <w:abstractNumId w:val="20"/>
  </w:num>
  <w:num w:numId="12" w16cid:durableId="817651268">
    <w:abstractNumId w:val="3"/>
  </w:num>
  <w:num w:numId="13" w16cid:durableId="695422865">
    <w:abstractNumId w:val="26"/>
  </w:num>
  <w:num w:numId="14" w16cid:durableId="1732340732">
    <w:abstractNumId w:val="32"/>
  </w:num>
  <w:num w:numId="15" w16cid:durableId="473909689">
    <w:abstractNumId w:val="22"/>
  </w:num>
  <w:num w:numId="16" w16cid:durableId="1049575241">
    <w:abstractNumId w:val="10"/>
  </w:num>
  <w:num w:numId="17" w16cid:durableId="1152647865">
    <w:abstractNumId w:val="4"/>
  </w:num>
  <w:num w:numId="18" w16cid:durableId="449278837">
    <w:abstractNumId w:val="19"/>
  </w:num>
  <w:num w:numId="19" w16cid:durableId="640187780">
    <w:abstractNumId w:val="11"/>
  </w:num>
  <w:num w:numId="20" w16cid:durableId="397750712">
    <w:abstractNumId w:val="31"/>
  </w:num>
  <w:num w:numId="21" w16cid:durableId="828794309">
    <w:abstractNumId w:val="18"/>
  </w:num>
  <w:num w:numId="22" w16cid:durableId="1644308495">
    <w:abstractNumId w:val="2"/>
  </w:num>
  <w:num w:numId="23" w16cid:durableId="1923485845">
    <w:abstractNumId w:val="17"/>
  </w:num>
  <w:num w:numId="24" w16cid:durableId="330524191">
    <w:abstractNumId w:val="24"/>
  </w:num>
  <w:num w:numId="25" w16cid:durableId="1714233297">
    <w:abstractNumId w:val="5"/>
  </w:num>
  <w:num w:numId="26" w16cid:durableId="707418072">
    <w:abstractNumId w:val="16"/>
  </w:num>
  <w:num w:numId="27" w16cid:durableId="1534881077">
    <w:abstractNumId w:val="21"/>
  </w:num>
  <w:num w:numId="28" w16cid:durableId="1636183712">
    <w:abstractNumId w:val="13"/>
  </w:num>
  <w:num w:numId="29" w16cid:durableId="663972438">
    <w:abstractNumId w:val="30"/>
  </w:num>
  <w:num w:numId="30" w16cid:durableId="1994874410">
    <w:abstractNumId w:val="0"/>
  </w:num>
  <w:num w:numId="31" w16cid:durableId="1814105807">
    <w:abstractNumId w:val="1"/>
  </w:num>
  <w:num w:numId="32" w16cid:durableId="548879244">
    <w:abstractNumId w:val="25"/>
  </w:num>
  <w:num w:numId="33" w16cid:durableId="19008258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5E"/>
    <w:rsid w:val="00000AB2"/>
    <w:rsid w:val="00000F26"/>
    <w:rsid w:val="00001552"/>
    <w:rsid w:val="000042C2"/>
    <w:rsid w:val="00004D85"/>
    <w:rsid w:val="000053BC"/>
    <w:rsid w:val="00007D44"/>
    <w:rsid w:val="00010B49"/>
    <w:rsid w:val="00012051"/>
    <w:rsid w:val="0001359D"/>
    <w:rsid w:val="000144E3"/>
    <w:rsid w:val="00014B45"/>
    <w:rsid w:val="000173EC"/>
    <w:rsid w:val="00023EAA"/>
    <w:rsid w:val="000347E4"/>
    <w:rsid w:val="00034966"/>
    <w:rsid w:val="00036372"/>
    <w:rsid w:val="000535A6"/>
    <w:rsid w:val="00053D0A"/>
    <w:rsid w:val="0005485F"/>
    <w:rsid w:val="000562A1"/>
    <w:rsid w:val="00057445"/>
    <w:rsid w:val="00057E2E"/>
    <w:rsid w:val="0006049F"/>
    <w:rsid w:val="00061A3E"/>
    <w:rsid w:val="00061F5D"/>
    <w:rsid w:val="00063E09"/>
    <w:rsid w:val="00064AFE"/>
    <w:rsid w:val="000661D1"/>
    <w:rsid w:val="0007013A"/>
    <w:rsid w:val="00070DC2"/>
    <w:rsid w:val="0007147D"/>
    <w:rsid w:val="00072C8E"/>
    <w:rsid w:val="00073D03"/>
    <w:rsid w:val="00073D63"/>
    <w:rsid w:val="00073EBB"/>
    <w:rsid w:val="00080ABE"/>
    <w:rsid w:val="00080DE6"/>
    <w:rsid w:val="00083025"/>
    <w:rsid w:val="0008590D"/>
    <w:rsid w:val="000920D4"/>
    <w:rsid w:val="00097315"/>
    <w:rsid w:val="000A2B66"/>
    <w:rsid w:val="000A3475"/>
    <w:rsid w:val="000A467E"/>
    <w:rsid w:val="000A597E"/>
    <w:rsid w:val="000B26AE"/>
    <w:rsid w:val="000B3A2E"/>
    <w:rsid w:val="000C0089"/>
    <w:rsid w:val="000C55C1"/>
    <w:rsid w:val="000C7ED5"/>
    <w:rsid w:val="000D0209"/>
    <w:rsid w:val="000D0A15"/>
    <w:rsid w:val="000D4129"/>
    <w:rsid w:val="000D5776"/>
    <w:rsid w:val="000E2A99"/>
    <w:rsid w:val="000E3C4C"/>
    <w:rsid w:val="000E4F9F"/>
    <w:rsid w:val="000E58D0"/>
    <w:rsid w:val="000E7328"/>
    <w:rsid w:val="000F1533"/>
    <w:rsid w:val="000F1EC4"/>
    <w:rsid w:val="000F5402"/>
    <w:rsid w:val="000F7059"/>
    <w:rsid w:val="0010046A"/>
    <w:rsid w:val="00100E21"/>
    <w:rsid w:val="00102F3C"/>
    <w:rsid w:val="0010337D"/>
    <w:rsid w:val="00105116"/>
    <w:rsid w:val="00105859"/>
    <w:rsid w:val="001113C2"/>
    <w:rsid w:val="0011328F"/>
    <w:rsid w:val="00113C7E"/>
    <w:rsid w:val="00113E3D"/>
    <w:rsid w:val="00117A2A"/>
    <w:rsid w:val="00117AE4"/>
    <w:rsid w:val="001208FD"/>
    <w:rsid w:val="00120FC6"/>
    <w:rsid w:val="0012306B"/>
    <w:rsid w:val="00124D20"/>
    <w:rsid w:val="00124E16"/>
    <w:rsid w:val="0012525B"/>
    <w:rsid w:val="00127715"/>
    <w:rsid w:val="00133957"/>
    <w:rsid w:val="0013517D"/>
    <w:rsid w:val="00135765"/>
    <w:rsid w:val="001374BD"/>
    <w:rsid w:val="00142527"/>
    <w:rsid w:val="00143132"/>
    <w:rsid w:val="00144947"/>
    <w:rsid w:val="00144D07"/>
    <w:rsid w:val="00146D1F"/>
    <w:rsid w:val="0015042F"/>
    <w:rsid w:val="001537D4"/>
    <w:rsid w:val="0015709C"/>
    <w:rsid w:val="00157AFC"/>
    <w:rsid w:val="001613D9"/>
    <w:rsid w:val="001669C7"/>
    <w:rsid w:val="001709D0"/>
    <w:rsid w:val="00170DCE"/>
    <w:rsid w:val="00171CAC"/>
    <w:rsid w:val="00172809"/>
    <w:rsid w:val="00172A5E"/>
    <w:rsid w:val="001766BF"/>
    <w:rsid w:val="001775BA"/>
    <w:rsid w:val="00183B73"/>
    <w:rsid w:val="00185F75"/>
    <w:rsid w:val="001861DE"/>
    <w:rsid w:val="00187E84"/>
    <w:rsid w:val="00190FD7"/>
    <w:rsid w:val="00192132"/>
    <w:rsid w:val="00193CE1"/>
    <w:rsid w:val="00193FCB"/>
    <w:rsid w:val="001959DD"/>
    <w:rsid w:val="00197889"/>
    <w:rsid w:val="001A0E52"/>
    <w:rsid w:val="001A16E0"/>
    <w:rsid w:val="001A3D0C"/>
    <w:rsid w:val="001A4029"/>
    <w:rsid w:val="001A5BF8"/>
    <w:rsid w:val="001A5C07"/>
    <w:rsid w:val="001A5FA5"/>
    <w:rsid w:val="001A6AFD"/>
    <w:rsid w:val="001B0597"/>
    <w:rsid w:val="001B0E89"/>
    <w:rsid w:val="001B1632"/>
    <w:rsid w:val="001B28ED"/>
    <w:rsid w:val="001B4B96"/>
    <w:rsid w:val="001B5165"/>
    <w:rsid w:val="001C0ACA"/>
    <w:rsid w:val="001C2AB8"/>
    <w:rsid w:val="001C4022"/>
    <w:rsid w:val="001D27F0"/>
    <w:rsid w:val="001D2F87"/>
    <w:rsid w:val="001D369E"/>
    <w:rsid w:val="001D3DDE"/>
    <w:rsid w:val="001D5096"/>
    <w:rsid w:val="001D51B1"/>
    <w:rsid w:val="001E0E8A"/>
    <w:rsid w:val="001E1429"/>
    <w:rsid w:val="001E4EDA"/>
    <w:rsid w:val="001E5E13"/>
    <w:rsid w:val="001E72D0"/>
    <w:rsid w:val="001F0B75"/>
    <w:rsid w:val="001F32B1"/>
    <w:rsid w:val="001F417B"/>
    <w:rsid w:val="001F4E59"/>
    <w:rsid w:val="001F59B5"/>
    <w:rsid w:val="00200022"/>
    <w:rsid w:val="00200337"/>
    <w:rsid w:val="00201DBE"/>
    <w:rsid w:val="00205784"/>
    <w:rsid w:val="00210A4B"/>
    <w:rsid w:val="002122BB"/>
    <w:rsid w:val="00213B67"/>
    <w:rsid w:val="00215391"/>
    <w:rsid w:val="0022082E"/>
    <w:rsid w:val="002209FC"/>
    <w:rsid w:val="0022262E"/>
    <w:rsid w:val="002233C1"/>
    <w:rsid w:val="0022512A"/>
    <w:rsid w:val="00225D0E"/>
    <w:rsid w:val="002265F1"/>
    <w:rsid w:val="002304E5"/>
    <w:rsid w:val="00231824"/>
    <w:rsid w:val="00231C1E"/>
    <w:rsid w:val="00232AFB"/>
    <w:rsid w:val="00233183"/>
    <w:rsid w:val="002335D4"/>
    <w:rsid w:val="00233899"/>
    <w:rsid w:val="002351D3"/>
    <w:rsid w:val="00235D7D"/>
    <w:rsid w:val="00235EA8"/>
    <w:rsid w:val="0024161E"/>
    <w:rsid w:val="00243A19"/>
    <w:rsid w:val="002504CF"/>
    <w:rsid w:val="002524A6"/>
    <w:rsid w:val="0025254F"/>
    <w:rsid w:val="002528EE"/>
    <w:rsid w:val="00253436"/>
    <w:rsid w:val="00256DEE"/>
    <w:rsid w:val="0025733A"/>
    <w:rsid w:val="002757F8"/>
    <w:rsid w:val="00276EE7"/>
    <w:rsid w:val="00276FFE"/>
    <w:rsid w:val="002770C4"/>
    <w:rsid w:val="00277165"/>
    <w:rsid w:val="00282D88"/>
    <w:rsid w:val="0028346D"/>
    <w:rsid w:val="00283DE2"/>
    <w:rsid w:val="00285D29"/>
    <w:rsid w:val="00286F60"/>
    <w:rsid w:val="00293329"/>
    <w:rsid w:val="002935FA"/>
    <w:rsid w:val="00294DBB"/>
    <w:rsid w:val="002A300F"/>
    <w:rsid w:val="002A430A"/>
    <w:rsid w:val="002B0568"/>
    <w:rsid w:val="002B06D7"/>
    <w:rsid w:val="002B3D94"/>
    <w:rsid w:val="002B4273"/>
    <w:rsid w:val="002B79EF"/>
    <w:rsid w:val="002C1CFA"/>
    <w:rsid w:val="002C2DE6"/>
    <w:rsid w:val="002C5477"/>
    <w:rsid w:val="002D0082"/>
    <w:rsid w:val="002D62A7"/>
    <w:rsid w:val="002D7536"/>
    <w:rsid w:val="002E2622"/>
    <w:rsid w:val="002F2DE8"/>
    <w:rsid w:val="002F4641"/>
    <w:rsid w:val="002F5133"/>
    <w:rsid w:val="002F7C4F"/>
    <w:rsid w:val="002F7C7F"/>
    <w:rsid w:val="002F7EB6"/>
    <w:rsid w:val="003014FB"/>
    <w:rsid w:val="00302149"/>
    <w:rsid w:val="00312FEB"/>
    <w:rsid w:val="003131BC"/>
    <w:rsid w:val="00316ACE"/>
    <w:rsid w:val="003176C6"/>
    <w:rsid w:val="003178A1"/>
    <w:rsid w:val="00321969"/>
    <w:rsid w:val="0032362D"/>
    <w:rsid w:val="00324334"/>
    <w:rsid w:val="003244A7"/>
    <w:rsid w:val="0032450E"/>
    <w:rsid w:val="00325B4F"/>
    <w:rsid w:val="003317A5"/>
    <w:rsid w:val="003338E5"/>
    <w:rsid w:val="0033670D"/>
    <w:rsid w:val="00343A67"/>
    <w:rsid w:val="00346C2E"/>
    <w:rsid w:val="00352F20"/>
    <w:rsid w:val="0035314D"/>
    <w:rsid w:val="00355AE2"/>
    <w:rsid w:val="00361D46"/>
    <w:rsid w:val="0036219C"/>
    <w:rsid w:val="0036319B"/>
    <w:rsid w:val="003725BF"/>
    <w:rsid w:val="003765B3"/>
    <w:rsid w:val="00384DD0"/>
    <w:rsid w:val="00385652"/>
    <w:rsid w:val="00385EE6"/>
    <w:rsid w:val="003862DB"/>
    <w:rsid w:val="003865A0"/>
    <w:rsid w:val="0038713A"/>
    <w:rsid w:val="00387A4B"/>
    <w:rsid w:val="00392D3D"/>
    <w:rsid w:val="00392F2C"/>
    <w:rsid w:val="00393D05"/>
    <w:rsid w:val="0039493E"/>
    <w:rsid w:val="00395554"/>
    <w:rsid w:val="00395803"/>
    <w:rsid w:val="00395A12"/>
    <w:rsid w:val="003A2309"/>
    <w:rsid w:val="003A2FF2"/>
    <w:rsid w:val="003A4CD8"/>
    <w:rsid w:val="003A7601"/>
    <w:rsid w:val="003B1849"/>
    <w:rsid w:val="003C53FA"/>
    <w:rsid w:val="003D1FF5"/>
    <w:rsid w:val="003D25EE"/>
    <w:rsid w:val="003D2726"/>
    <w:rsid w:val="003D2A5B"/>
    <w:rsid w:val="003D3EA0"/>
    <w:rsid w:val="003D3FC9"/>
    <w:rsid w:val="003D6001"/>
    <w:rsid w:val="003D711A"/>
    <w:rsid w:val="003E2707"/>
    <w:rsid w:val="003E4183"/>
    <w:rsid w:val="003E44AD"/>
    <w:rsid w:val="003E4CE3"/>
    <w:rsid w:val="003E54E7"/>
    <w:rsid w:val="003E5F98"/>
    <w:rsid w:val="003F2B59"/>
    <w:rsid w:val="003F4C4E"/>
    <w:rsid w:val="003F4FA1"/>
    <w:rsid w:val="003F5C1A"/>
    <w:rsid w:val="003F68F2"/>
    <w:rsid w:val="003F6DED"/>
    <w:rsid w:val="0040043C"/>
    <w:rsid w:val="00403D67"/>
    <w:rsid w:val="00412480"/>
    <w:rsid w:val="00412F25"/>
    <w:rsid w:val="00414F29"/>
    <w:rsid w:val="0041508B"/>
    <w:rsid w:val="00416C98"/>
    <w:rsid w:val="004171AE"/>
    <w:rsid w:val="004173F9"/>
    <w:rsid w:val="00420227"/>
    <w:rsid w:val="00422683"/>
    <w:rsid w:val="00426478"/>
    <w:rsid w:val="004323DA"/>
    <w:rsid w:val="00437C7A"/>
    <w:rsid w:val="00440AC2"/>
    <w:rsid w:val="004436D4"/>
    <w:rsid w:val="00443A1F"/>
    <w:rsid w:val="00446C2D"/>
    <w:rsid w:val="00452878"/>
    <w:rsid w:val="0045542B"/>
    <w:rsid w:val="00455736"/>
    <w:rsid w:val="00455A68"/>
    <w:rsid w:val="00460B08"/>
    <w:rsid w:val="0046181C"/>
    <w:rsid w:val="00461D55"/>
    <w:rsid w:val="00462178"/>
    <w:rsid w:val="004647AC"/>
    <w:rsid w:val="0046609D"/>
    <w:rsid w:val="00474990"/>
    <w:rsid w:val="004769E1"/>
    <w:rsid w:val="0047799E"/>
    <w:rsid w:val="00480380"/>
    <w:rsid w:val="00483B77"/>
    <w:rsid w:val="00485708"/>
    <w:rsid w:val="0048757E"/>
    <w:rsid w:val="00490382"/>
    <w:rsid w:val="00490A79"/>
    <w:rsid w:val="00492D10"/>
    <w:rsid w:val="00494CCE"/>
    <w:rsid w:val="00496328"/>
    <w:rsid w:val="004A12F1"/>
    <w:rsid w:val="004A1DB3"/>
    <w:rsid w:val="004B3323"/>
    <w:rsid w:val="004B3E28"/>
    <w:rsid w:val="004B4ED4"/>
    <w:rsid w:val="004C231E"/>
    <w:rsid w:val="004C3E0C"/>
    <w:rsid w:val="004C63FE"/>
    <w:rsid w:val="004D04ED"/>
    <w:rsid w:val="004D6DFB"/>
    <w:rsid w:val="004E1886"/>
    <w:rsid w:val="004E1E68"/>
    <w:rsid w:val="004E220B"/>
    <w:rsid w:val="004E399B"/>
    <w:rsid w:val="004E6076"/>
    <w:rsid w:val="004E7AFA"/>
    <w:rsid w:val="004F06E3"/>
    <w:rsid w:val="004F6E3C"/>
    <w:rsid w:val="005036DA"/>
    <w:rsid w:val="00504FCD"/>
    <w:rsid w:val="005117E2"/>
    <w:rsid w:val="00515E20"/>
    <w:rsid w:val="00516483"/>
    <w:rsid w:val="005173B3"/>
    <w:rsid w:val="0052002E"/>
    <w:rsid w:val="005212FC"/>
    <w:rsid w:val="00523255"/>
    <w:rsid w:val="005254AB"/>
    <w:rsid w:val="00526AB9"/>
    <w:rsid w:val="00526C8B"/>
    <w:rsid w:val="00527C61"/>
    <w:rsid w:val="005310F5"/>
    <w:rsid w:val="005330BF"/>
    <w:rsid w:val="005332B6"/>
    <w:rsid w:val="0053455C"/>
    <w:rsid w:val="0053681C"/>
    <w:rsid w:val="005425C9"/>
    <w:rsid w:val="005428E7"/>
    <w:rsid w:val="00546741"/>
    <w:rsid w:val="00550598"/>
    <w:rsid w:val="005538BB"/>
    <w:rsid w:val="005600E7"/>
    <w:rsid w:val="0056250F"/>
    <w:rsid w:val="00562A14"/>
    <w:rsid w:val="0056487D"/>
    <w:rsid w:val="0056607C"/>
    <w:rsid w:val="00566CBE"/>
    <w:rsid w:val="0056723F"/>
    <w:rsid w:val="0056724B"/>
    <w:rsid w:val="00573B5C"/>
    <w:rsid w:val="00575E27"/>
    <w:rsid w:val="00577AFD"/>
    <w:rsid w:val="00584581"/>
    <w:rsid w:val="00584680"/>
    <w:rsid w:val="00584819"/>
    <w:rsid w:val="005859F2"/>
    <w:rsid w:val="005875EC"/>
    <w:rsid w:val="00590A91"/>
    <w:rsid w:val="00594811"/>
    <w:rsid w:val="00594C71"/>
    <w:rsid w:val="00597370"/>
    <w:rsid w:val="00597E18"/>
    <w:rsid w:val="005A0856"/>
    <w:rsid w:val="005A0FDB"/>
    <w:rsid w:val="005A57C1"/>
    <w:rsid w:val="005A720E"/>
    <w:rsid w:val="005A740D"/>
    <w:rsid w:val="005B0D0C"/>
    <w:rsid w:val="005B192D"/>
    <w:rsid w:val="005B1C1D"/>
    <w:rsid w:val="005B1E59"/>
    <w:rsid w:val="005B35EB"/>
    <w:rsid w:val="005B4CF9"/>
    <w:rsid w:val="005B6541"/>
    <w:rsid w:val="005C4C6A"/>
    <w:rsid w:val="005C5B24"/>
    <w:rsid w:val="005C5FAE"/>
    <w:rsid w:val="005C79DD"/>
    <w:rsid w:val="005C7DDB"/>
    <w:rsid w:val="005D5E19"/>
    <w:rsid w:val="005D69F8"/>
    <w:rsid w:val="005E1016"/>
    <w:rsid w:val="005E2F33"/>
    <w:rsid w:val="005E58FA"/>
    <w:rsid w:val="005E5EBC"/>
    <w:rsid w:val="005E6051"/>
    <w:rsid w:val="005E686F"/>
    <w:rsid w:val="005E7045"/>
    <w:rsid w:val="005F3C3B"/>
    <w:rsid w:val="005F68A9"/>
    <w:rsid w:val="005F7428"/>
    <w:rsid w:val="006019FC"/>
    <w:rsid w:val="00603263"/>
    <w:rsid w:val="00606C5A"/>
    <w:rsid w:val="0062136B"/>
    <w:rsid w:val="006229E5"/>
    <w:rsid w:val="00631089"/>
    <w:rsid w:val="00631810"/>
    <w:rsid w:val="0063348F"/>
    <w:rsid w:val="006336D3"/>
    <w:rsid w:val="0063450D"/>
    <w:rsid w:val="006353A2"/>
    <w:rsid w:val="0063551C"/>
    <w:rsid w:val="006366B7"/>
    <w:rsid w:val="006369F5"/>
    <w:rsid w:val="00637847"/>
    <w:rsid w:val="00646E2D"/>
    <w:rsid w:val="00647F41"/>
    <w:rsid w:val="0065110A"/>
    <w:rsid w:val="00651D12"/>
    <w:rsid w:val="00652601"/>
    <w:rsid w:val="006527DC"/>
    <w:rsid w:val="00654270"/>
    <w:rsid w:val="006602BA"/>
    <w:rsid w:val="00661DA7"/>
    <w:rsid w:val="00665C2E"/>
    <w:rsid w:val="00666092"/>
    <w:rsid w:val="00667823"/>
    <w:rsid w:val="00671190"/>
    <w:rsid w:val="006716BD"/>
    <w:rsid w:val="00674C92"/>
    <w:rsid w:val="00675B23"/>
    <w:rsid w:val="006847E8"/>
    <w:rsid w:val="00685929"/>
    <w:rsid w:val="00686261"/>
    <w:rsid w:val="0069295B"/>
    <w:rsid w:val="00693E7E"/>
    <w:rsid w:val="00694BC0"/>
    <w:rsid w:val="00694D5B"/>
    <w:rsid w:val="006956B1"/>
    <w:rsid w:val="006A0FEA"/>
    <w:rsid w:val="006A1F15"/>
    <w:rsid w:val="006A44B0"/>
    <w:rsid w:val="006B22F5"/>
    <w:rsid w:val="006B2C77"/>
    <w:rsid w:val="006B49C2"/>
    <w:rsid w:val="006B5BB8"/>
    <w:rsid w:val="006B6581"/>
    <w:rsid w:val="006B66BB"/>
    <w:rsid w:val="006C450B"/>
    <w:rsid w:val="006C58EE"/>
    <w:rsid w:val="006D2130"/>
    <w:rsid w:val="006D3B17"/>
    <w:rsid w:val="006D3E38"/>
    <w:rsid w:val="006D405C"/>
    <w:rsid w:val="006D63A8"/>
    <w:rsid w:val="006D69FB"/>
    <w:rsid w:val="006D758A"/>
    <w:rsid w:val="006D7FF0"/>
    <w:rsid w:val="006E05CE"/>
    <w:rsid w:val="006E2D78"/>
    <w:rsid w:val="006E7E94"/>
    <w:rsid w:val="006F0BFA"/>
    <w:rsid w:val="006F23FD"/>
    <w:rsid w:val="006F4E52"/>
    <w:rsid w:val="006F6A07"/>
    <w:rsid w:val="006F738B"/>
    <w:rsid w:val="00700764"/>
    <w:rsid w:val="00700EF2"/>
    <w:rsid w:val="007019DC"/>
    <w:rsid w:val="00701AA0"/>
    <w:rsid w:val="00701AB4"/>
    <w:rsid w:val="00703BE1"/>
    <w:rsid w:val="00710DD3"/>
    <w:rsid w:val="007117B5"/>
    <w:rsid w:val="00711F4B"/>
    <w:rsid w:val="007123D6"/>
    <w:rsid w:val="007146E3"/>
    <w:rsid w:val="007169F6"/>
    <w:rsid w:val="00720C2E"/>
    <w:rsid w:val="00723E5B"/>
    <w:rsid w:val="007263B4"/>
    <w:rsid w:val="00726783"/>
    <w:rsid w:val="007268B4"/>
    <w:rsid w:val="00730A20"/>
    <w:rsid w:val="00734229"/>
    <w:rsid w:val="00735DA9"/>
    <w:rsid w:val="00736C8A"/>
    <w:rsid w:val="007379AB"/>
    <w:rsid w:val="0074047C"/>
    <w:rsid w:val="007408B2"/>
    <w:rsid w:val="00744C84"/>
    <w:rsid w:val="00745B95"/>
    <w:rsid w:val="00747420"/>
    <w:rsid w:val="007507E0"/>
    <w:rsid w:val="0075083E"/>
    <w:rsid w:val="007528B7"/>
    <w:rsid w:val="00753D8C"/>
    <w:rsid w:val="00754290"/>
    <w:rsid w:val="00760FAD"/>
    <w:rsid w:val="007661E4"/>
    <w:rsid w:val="007663BB"/>
    <w:rsid w:val="007700DB"/>
    <w:rsid w:val="00774CAC"/>
    <w:rsid w:val="00777641"/>
    <w:rsid w:val="00777B38"/>
    <w:rsid w:val="00780362"/>
    <w:rsid w:val="00783342"/>
    <w:rsid w:val="00783A7F"/>
    <w:rsid w:val="00784636"/>
    <w:rsid w:val="00791B57"/>
    <w:rsid w:val="0079268F"/>
    <w:rsid w:val="00793417"/>
    <w:rsid w:val="007946DA"/>
    <w:rsid w:val="00795BD2"/>
    <w:rsid w:val="00797C50"/>
    <w:rsid w:val="007A142B"/>
    <w:rsid w:val="007A1C9F"/>
    <w:rsid w:val="007A4608"/>
    <w:rsid w:val="007A533D"/>
    <w:rsid w:val="007A5B92"/>
    <w:rsid w:val="007A72F4"/>
    <w:rsid w:val="007A7F66"/>
    <w:rsid w:val="007B1678"/>
    <w:rsid w:val="007B1967"/>
    <w:rsid w:val="007B4A43"/>
    <w:rsid w:val="007B70A2"/>
    <w:rsid w:val="007B70ED"/>
    <w:rsid w:val="007B7B74"/>
    <w:rsid w:val="007C03FD"/>
    <w:rsid w:val="007C20CE"/>
    <w:rsid w:val="007C53A3"/>
    <w:rsid w:val="007C6D12"/>
    <w:rsid w:val="007C7461"/>
    <w:rsid w:val="007C7E12"/>
    <w:rsid w:val="007C7F4A"/>
    <w:rsid w:val="007D0449"/>
    <w:rsid w:val="007D0A8C"/>
    <w:rsid w:val="007D350A"/>
    <w:rsid w:val="007D383A"/>
    <w:rsid w:val="007D47C0"/>
    <w:rsid w:val="007D47FD"/>
    <w:rsid w:val="007E12E7"/>
    <w:rsid w:val="007E16B2"/>
    <w:rsid w:val="007E1B74"/>
    <w:rsid w:val="007E365F"/>
    <w:rsid w:val="007E6D70"/>
    <w:rsid w:val="007E731F"/>
    <w:rsid w:val="007F3E51"/>
    <w:rsid w:val="008000DD"/>
    <w:rsid w:val="00800C84"/>
    <w:rsid w:val="008057D9"/>
    <w:rsid w:val="00806AC1"/>
    <w:rsid w:val="00815D82"/>
    <w:rsid w:val="008166D4"/>
    <w:rsid w:val="00817439"/>
    <w:rsid w:val="008201AC"/>
    <w:rsid w:val="00822E73"/>
    <w:rsid w:val="00825FDF"/>
    <w:rsid w:val="008335E0"/>
    <w:rsid w:val="00835124"/>
    <w:rsid w:val="008354DD"/>
    <w:rsid w:val="00835D3C"/>
    <w:rsid w:val="0084315C"/>
    <w:rsid w:val="008434D4"/>
    <w:rsid w:val="0084540C"/>
    <w:rsid w:val="008529E1"/>
    <w:rsid w:val="00852EE6"/>
    <w:rsid w:val="00855E8E"/>
    <w:rsid w:val="00856D40"/>
    <w:rsid w:val="00862F4B"/>
    <w:rsid w:val="00864FEE"/>
    <w:rsid w:val="008803B0"/>
    <w:rsid w:val="00881D23"/>
    <w:rsid w:val="00882A98"/>
    <w:rsid w:val="0088464F"/>
    <w:rsid w:val="008853EE"/>
    <w:rsid w:val="008860CA"/>
    <w:rsid w:val="00891ECB"/>
    <w:rsid w:val="0089659C"/>
    <w:rsid w:val="008971DA"/>
    <w:rsid w:val="008A733B"/>
    <w:rsid w:val="008A7407"/>
    <w:rsid w:val="008B10B3"/>
    <w:rsid w:val="008B1FD6"/>
    <w:rsid w:val="008B2B58"/>
    <w:rsid w:val="008B32CA"/>
    <w:rsid w:val="008B4B34"/>
    <w:rsid w:val="008B6401"/>
    <w:rsid w:val="008C1D20"/>
    <w:rsid w:val="008C29EA"/>
    <w:rsid w:val="008C4782"/>
    <w:rsid w:val="008C6ABE"/>
    <w:rsid w:val="008C78B3"/>
    <w:rsid w:val="008D40E6"/>
    <w:rsid w:val="008D4492"/>
    <w:rsid w:val="008D49D8"/>
    <w:rsid w:val="008D61F0"/>
    <w:rsid w:val="008E0DEF"/>
    <w:rsid w:val="008E1F90"/>
    <w:rsid w:val="008E26F0"/>
    <w:rsid w:val="008E277D"/>
    <w:rsid w:val="008E6C19"/>
    <w:rsid w:val="008F1060"/>
    <w:rsid w:val="008F126C"/>
    <w:rsid w:val="008F2DE2"/>
    <w:rsid w:val="008F36C5"/>
    <w:rsid w:val="008F3F09"/>
    <w:rsid w:val="008F48F1"/>
    <w:rsid w:val="008F6E4F"/>
    <w:rsid w:val="008F7F52"/>
    <w:rsid w:val="009008DF"/>
    <w:rsid w:val="00900C40"/>
    <w:rsid w:val="00903F58"/>
    <w:rsid w:val="0090422D"/>
    <w:rsid w:val="009049D6"/>
    <w:rsid w:val="009123DA"/>
    <w:rsid w:val="00915145"/>
    <w:rsid w:val="0091640F"/>
    <w:rsid w:val="00916676"/>
    <w:rsid w:val="00916D26"/>
    <w:rsid w:val="0092167D"/>
    <w:rsid w:val="0092519B"/>
    <w:rsid w:val="00926C20"/>
    <w:rsid w:val="00926EFB"/>
    <w:rsid w:val="00935938"/>
    <w:rsid w:val="00936A04"/>
    <w:rsid w:val="00936EB1"/>
    <w:rsid w:val="00942E6C"/>
    <w:rsid w:val="00943FEC"/>
    <w:rsid w:val="00945F3F"/>
    <w:rsid w:val="00947D34"/>
    <w:rsid w:val="00947E64"/>
    <w:rsid w:val="00947FCC"/>
    <w:rsid w:val="0095100D"/>
    <w:rsid w:val="00951E7D"/>
    <w:rsid w:val="00952BA5"/>
    <w:rsid w:val="00954475"/>
    <w:rsid w:val="00965C2D"/>
    <w:rsid w:val="00967355"/>
    <w:rsid w:val="00973554"/>
    <w:rsid w:val="0097564A"/>
    <w:rsid w:val="00976244"/>
    <w:rsid w:val="00980FEA"/>
    <w:rsid w:val="00982B8D"/>
    <w:rsid w:val="009843CD"/>
    <w:rsid w:val="00984C8C"/>
    <w:rsid w:val="00985B4C"/>
    <w:rsid w:val="00986BFA"/>
    <w:rsid w:val="00987548"/>
    <w:rsid w:val="00990BAD"/>
    <w:rsid w:val="00997266"/>
    <w:rsid w:val="009979B5"/>
    <w:rsid w:val="009A142A"/>
    <w:rsid w:val="009A5563"/>
    <w:rsid w:val="009B5346"/>
    <w:rsid w:val="009B6F7E"/>
    <w:rsid w:val="009B7FEE"/>
    <w:rsid w:val="009C165C"/>
    <w:rsid w:val="009C3A6F"/>
    <w:rsid w:val="009C4422"/>
    <w:rsid w:val="009C4E2B"/>
    <w:rsid w:val="009D28C3"/>
    <w:rsid w:val="009D30D4"/>
    <w:rsid w:val="009E0588"/>
    <w:rsid w:val="009E16FA"/>
    <w:rsid w:val="009E25FF"/>
    <w:rsid w:val="009E3433"/>
    <w:rsid w:val="009F012A"/>
    <w:rsid w:val="009F1B91"/>
    <w:rsid w:val="009F3DEB"/>
    <w:rsid w:val="009F7178"/>
    <w:rsid w:val="00A000B1"/>
    <w:rsid w:val="00A010AE"/>
    <w:rsid w:val="00A028C9"/>
    <w:rsid w:val="00A06384"/>
    <w:rsid w:val="00A16240"/>
    <w:rsid w:val="00A16858"/>
    <w:rsid w:val="00A24EA6"/>
    <w:rsid w:val="00A279BB"/>
    <w:rsid w:val="00A30B15"/>
    <w:rsid w:val="00A37149"/>
    <w:rsid w:val="00A403B5"/>
    <w:rsid w:val="00A42A3D"/>
    <w:rsid w:val="00A444A8"/>
    <w:rsid w:val="00A465DF"/>
    <w:rsid w:val="00A52971"/>
    <w:rsid w:val="00A53A25"/>
    <w:rsid w:val="00A542C3"/>
    <w:rsid w:val="00A54B85"/>
    <w:rsid w:val="00A55814"/>
    <w:rsid w:val="00A55902"/>
    <w:rsid w:val="00A61CAC"/>
    <w:rsid w:val="00A6374F"/>
    <w:rsid w:val="00A645C6"/>
    <w:rsid w:val="00A647AE"/>
    <w:rsid w:val="00A65BFD"/>
    <w:rsid w:val="00A713FA"/>
    <w:rsid w:val="00A72401"/>
    <w:rsid w:val="00A73778"/>
    <w:rsid w:val="00A755DD"/>
    <w:rsid w:val="00A80C43"/>
    <w:rsid w:val="00A8452E"/>
    <w:rsid w:val="00A85F56"/>
    <w:rsid w:val="00A87E1A"/>
    <w:rsid w:val="00A9000B"/>
    <w:rsid w:val="00A90BB4"/>
    <w:rsid w:val="00A91E8D"/>
    <w:rsid w:val="00A94040"/>
    <w:rsid w:val="00A94EDF"/>
    <w:rsid w:val="00A95CF6"/>
    <w:rsid w:val="00A96218"/>
    <w:rsid w:val="00AA2528"/>
    <w:rsid w:val="00AA25AF"/>
    <w:rsid w:val="00AA4205"/>
    <w:rsid w:val="00AA5830"/>
    <w:rsid w:val="00AA64C1"/>
    <w:rsid w:val="00AA69BB"/>
    <w:rsid w:val="00AB02BA"/>
    <w:rsid w:val="00AB0DB4"/>
    <w:rsid w:val="00AB210B"/>
    <w:rsid w:val="00AC0447"/>
    <w:rsid w:val="00AC0960"/>
    <w:rsid w:val="00AC498A"/>
    <w:rsid w:val="00AC5880"/>
    <w:rsid w:val="00AC6902"/>
    <w:rsid w:val="00AD3055"/>
    <w:rsid w:val="00AD361B"/>
    <w:rsid w:val="00AD6FA6"/>
    <w:rsid w:val="00AD712E"/>
    <w:rsid w:val="00AD7633"/>
    <w:rsid w:val="00AE0550"/>
    <w:rsid w:val="00AE0852"/>
    <w:rsid w:val="00AE3BF8"/>
    <w:rsid w:val="00AE485B"/>
    <w:rsid w:val="00AE5EC0"/>
    <w:rsid w:val="00AE5FE8"/>
    <w:rsid w:val="00AF5257"/>
    <w:rsid w:val="00AF763A"/>
    <w:rsid w:val="00AF788E"/>
    <w:rsid w:val="00B0518F"/>
    <w:rsid w:val="00B076F8"/>
    <w:rsid w:val="00B07B17"/>
    <w:rsid w:val="00B10142"/>
    <w:rsid w:val="00B1075E"/>
    <w:rsid w:val="00B11F6F"/>
    <w:rsid w:val="00B16C35"/>
    <w:rsid w:val="00B22E01"/>
    <w:rsid w:val="00B23D89"/>
    <w:rsid w:val="00B252DC"/>
    <w:rsid w:val="00B2715D"/>
    <w:rsid w:val="00B35FC9"/>
    <w:rsid w:val="00B4057E"/>
    <w:rsid w:val="00B40ECF"/>
    <w:rsid w:val="00B47B11"/>
    <w:rsid w:val="00B52D78"/>
    <w:rsid w:val="00B52D9D"/>
    <w:rsid w:val="00B54025"/>
    <w:rsid w:val="00B547AB"/>
    <w:rsid w:val="00B55EC1"/>
    <w:rsid w:val="00B5749C"/>
    <w:rsid w:val="00B577D0"/>
    <w:rsid w:val="00B60542"/>
    <w:rsid w:val="00B64AE0"/>
    <w:rsid w:val="00B66ECE"/>
    <w:rsid w:val="00B72059"/>
    <w:rsid w:val="00B77EE4"/>
    <w:rsid w:val="00B81F2E"/>
    <w:rsid w:val="00B82D1C"/>
    <w:rsid w:val="00B8349D"/>
    <w:rsid w:val="00B84B34"/>
    <w:rsid w:val="00B869AE"/>
    <w:rsid w:val="00B87ED6"/>
    <w:rsid w:val="00B940B0"/>
    <w:rsid w:val="00B966DC"/>
    <w:rsid w:val="00B97C31"/>
    <w:rsid w:val="00BA04D7"/>
    <w:rsid w:val="00BA13DB"/>
    <w:rsid w:val="00BA5BBF"/>
    <w:rsid w:val="00BB0DFD"/>
    <w:rsid w:val="00BB440A"/>
    <w:rsid w:val="00BB4D6C"/>
    <w:rsid w:val="00BB695B"/>
    <w:rsid w:val="00BB6CE2"/>
    <w:rsid w:val="00BB747D"/>
    <w:rsid w:val="00BB77F7"/>
    <w:rsid w:val="00BC61B4"/>
    <w:rsid w:val="00BD0D4D"/>
    <w:rsid w:val="00BD2565"/>
    <w:rsid w:val="00BD372F"/>
    <w:rsid w:val="00BD703B"/>
    <w:rsid w:val="00BD781F"/>
    <w:rsid w:val="00BD7A38"/>
    <w:rsid w:val="00BE015C"/>
    <w:rsid w:val="00BE030A"/>
    <w:rsid w:val="00BE3145"/>
    <w:rsid w:val="00BE4EDE"/>
    <w:rsid w:val="00BF1F20"/>
    <w:rsid w:val="00BF2570"/>
    <w:rsid w:val="00BF2D3E"/>
    <w:rsid w:val="00BF34A3"/>
    <w:rsid w:val="00BF5BCB"/>
    <w:rsid w:val="00BF7F46"/>
    <w:rsid w:val="00C01490"/>
    <w:rsid w:val="00C04700"/>
    <w:rsid w:val="00C0575A"/>
    <w:rsid w:val="00C10755"/>
    <w:rsid w:val="00C1079F"/>
    <w:rsid w:val="00C11363"/>
    <w:rsid w:val="00C12418"/>
    <w:rsid w:val="00C12894"/>
    <w:rsid w:val="00C20925"/>
    <w:rsid w:val="00C22359"/>
    <w:rsid w:val="00C22FC3"/>
    <w:rsid w:val="00C254A3"/>
    <w:rsid w:val="00C31FB6"/>
    <w:rsid w:val="00C333B5"/>
    <w:rsid w:val="00C34FD3"/>
    <w:rsid w:val="00C3682F"/>
    <w:rsid w:val="00C42B49"/>
    <w:rsid w:val="00C43E83"/>
    <w:rsid w:val="00C4724B"/>
    <w:rsid w:val="00C507D4"/>
    <w:rsid w:val="00C51184"/>
    <w:rsid w:val="00C51E86"/>
    <w:rsid w:val="00C56810"/>
    <w:rsid w:val="00C611B0"/>
    <w:rsid w:val="00C61824"/>
    <w:rsid w:val="00C61D77"/>
    <w:rsid w:val="00C63999"/>
    <w:rsid w:val="00C65CAD"/>
    <w:rsid w:val="00C70409"/>
    <w:rsid w:val="00C720D2"/>
    <w:rsid w:val="00C7336C"/>
    <w:rsid w:val="00C75737"/>
    <w:rsid w:val="00C75DC7"/>
    <w:rsid w:val="00C7700B"/>
    <w:rsid w:val="00C77862"/>
    <w:rsid w:val="00C807A0"/>
    <w:rsid w:val="00C90FCB"/>
    <w:rsid w:val="00C91C5B"/>
    <w:rsid w:val="00C92207"/>
    <w:rsid w:val="00C93CB5"/>
    <w:rsid w:val="00C95221"/>
    <w:rsid w:val="00C975E7"/>
    <w:rsid w:val="00CA2007"/>
    <w:rsid w:val="00CA67CE"/>
    <w:rsid w:val="00CB1EA7"/>
    <w:rsid w:val="00CB2673"/>
    <w:rsid w:val="00CB38EB"/>
    <w:rsid w:val="00CC1930"/>
    <w:rsid w:val="00CC5A81"/>
    <w:rsid w:val="00CD123D"/>
    <w:rsid w:val="00CD154F"/>
    <w:rsid w:val="00CD1CCA"/>
    <w:rsid w:val="00CD1DC9"/>
    <w:rsid w:val="00CD2A9A"/>
    <w:rsid w:val="00CD5198"/>
    <w:rsid w:val="00CD53B7"/>
    <w:rsid w:val="00CE0790"/>
    <w:rsid w:val="00CE19BE"/>
    <w:rsid w:val="00CE1A84"/>
    <w:rsid w:val="00CE55DD"/>
    <w:rsid w:val="00CF38DC"/>
    <w:rsid w:val="00CF39B0"/>
    <w:rsid w:val="00D0252B"/>
    <w:rsid w:val="00D03DC8"/>
    <w:rsid w:val="00D041EA"/>
    <w:rsid w:val="00D105C6"/>
    <w:rsid w:val="00D10972"/>
    <w:rsid w:val="00D11836"/>
    <w:rsid w:val="00D12C0B"/>
    <w:rsid w:val="00D133D1"/>
    <w:rsid w:val="00D143F2"/>
    <w:rsid w:val="00D1745C"/>
    <w:rsid w:val="00D2202D"/>
    <w:rsid w:val="00D23CCE"/>
    <w:rsid w:val="00D24366"/>
    <w:rsid w:val="00D24FDB"/>
    <w:rsid w:val="00D262ED"/>
    <w:rsid w:val="00D270F9"/>
    <w:rsid w:val="00D27732"/>
    <w:rsid w:val="00D36374"/>
    <w:rsid w:val="00D3755C"/>
    <w:rsid w:val="00D40A5A"/>
    <w:rsid w:val="00D4489F"/>
    <w:rsid w:val="00D453BC"/>
    <w:rsid w:val="00D46A70"/>
    <w:rsid w:val="00D51605"/>
    <w:rsid w:val="00D51E55"/>
    <w:rsid w:val="00D56FDA"/>
    <w:rsid w:val="00D6050D"/>
    <w:rsid w:val="00D61B6B"/>
    <w:rsid w:val="00D63448"/>
    <w:rsid w:val="00D63AF5"/>
    <w:rsid w:val="00D63CD7"/>
    <w:rsid w:val="00D6428D"/>
    <w:rsid w:val="00D6482C"/>
    <w:rsid w:val="00D66EFC"/>
    <w:rsid w:val="00D723CF"/>
    <w:rsid w:val="00D75FAB"/>
    <w:rsid w:val="00D76D38"/>
    <w:rsid w:val="00D82BD1"/>
    <w:rsid w:val="00D83204"/>
    <w:rsid w:val="00D8589B"/>
    <w:rsid w:val="00D90018"/>
    <w:rsid w:val="00D92F13"/>
    <w:rsid w:val="00D96F8C"/>
    <w:rsid w:val="00D979A2"/>
    <w:rsid w:val="00D97F9A"/>
    <w:rsid w:val="00DA2A55"/>
    <w:rsid w:val="00DA3251"/>
    <w:rsid w:val="00DA4345"/>
    <w:rsid w:val="00DB20D5"/>
    <w:rsid w:val="00DB51F6"/>
    <w:rsid w:val="00DB5A05"/>
    <w:rsid w:val="00DC0BB9"/>
    <w:rsid w:val="00DC26D9"/>
    <w:rsid w:val="00DC58DC"/>
    <w:rsid w:val="00DC632A"/>
    <w:rsid w:val="00DC71B3"/>
    <w:rsid w:val="00DC71BF"/>
    <w:rsid w:val="00DD2C3E"/>
    <w:rsid w:val="00DD36CF"/>
    <w:rsid w:val="00DD3F8B"/>
    <w:rsid w:val="00DD6FAF"/>
    <w:rsid w:val="00DE29CC"/>
    <w:rsid w:val="00DE3A12"/>
    <w:rsid w:val="00DE5E02"/>
    <w:rsid w:val="00DF0AFA"/>
    <w:rsid w:val="00DF12A9"/>
    <w:rsid w:val="00DF26D8"/>
    <w:rsid w:val="00DF43D0"/>
    <w:rsid w:val="00DF62B2"/>
    <w:rsid w:val="00E028D2"/>
    <w:rsid w:val="00E053A4"/>
    <w:rsid w:val="00E063C1"/>
    <w:rsid w:val="00E06F28"/>
    <w:rsid w:val="00E11922"/>
    <w:rsid w:val="00E13D0F"/>
    <w:rsid w:val="00E3038E"/>
    <w:rsid w:val="00E3114C"/>
    <w:rsid w:val="00E31B22"/>
    <w:rsid w:val="00E33687"/>
    <w:rsid w:val="00E37F5D"/>
    <w:rsid w:val="00E404E5"/>
    <w:rsid w:val="00E414C8"/>
    <w:rsid w:val="00E5119F"/>
    <w:rsid w:val="00E534ED"/>
    <w:rsid w:val="00E53C83"/>
    <w:rsid w:val="00E54AB0"/>
    <w:rsid w:val="00E559B7"/>
    <w:rsid w:val="00E56AE5"/>
    <w:rsid w:val="00E57D39"/>
    <w:rsid w:val="00E61DFB"/>
    <w:rsid w:val="00E62486"/>
    <w:rsid w:val="00E62CF1"/>
    <w:rsid w:val="00E718DB"/>
    <w:rsid w:val="00E83CB5"/>
    <w:rsid w:val="00E85E95"/>
    <w:rsid w:val="00E86E88"/>
    <w:rsid w:val="00E9543E"/>
    <w:rsid w:val="00E97748"/>
    <w:rsid w:val="00EA1114"/>
    <w:rsid w:val="00EA2FA9"/>
    <w:rsid w:val="00EA3D14"/>
    <w:rsid w:val="00EA5E22"/>
    <w:rsid w:val="00EA7A89"/>
    <w:rsid w:val="00EB0A23"/>
    <w:rsid w:val="00EB1F65"/>
    <w:rsid w:val="00EB3802"/>
    <w:rsid w:val="00EB532B"/>
    <w:rsid w:val="00EB6352"/>
    <w:rsid w:val="00EB6929"/>
    <w:rsid w:val="00EC286E"/>
    <w:rsid w:val="00EC6859"/>
    <w:rsid w:val="00EC7678"/>
    <w:rsid w:val="00EC78DE"/>
    <w:rsid w:val="00ED0F4A"/>
    <w:rsid w:val="00ED154E"/>
    <w:rsid w:val="00ED176F"/>
    <w:rsid w:val="00ED29AB"/>
    <w:rsid w:val="00ED413F"/>
    <w:rsid w:val="00ED4F95"/>
    <w:rsid w:val="00ED75BE"/>
    <w:rsid w:val="00ED761B"/>
    <w:rsid w:val="00EE1396"/>
    <w:rsid w:val="00EE2933"/>
    <w:rsid w:val="00EE6DF3"/>
    <w:rsid w:val="00EF2AE5"/>
    <w:rsid w:val="00F02898"/>
    <w:rsid w:val="00F0654B"/>
    <w:rsid w:val="00F067E4"/>
    <w:rsid w:val="00F07066"/>
    <w:rsid w:val="00F0725E"/>
    <w:rsid w:val="00F13A03"/>
    <w:rsid w:val="00F157FE"/>
    <w:rsid w:val="00F16AA6"/>
    <w:rsid w:val="00F20C3D"/>
    <w:rsid w:val="00F22491"/>
    <w:rsid w:val="00F23C1F"/>
    <w:rsid w:val="00F25141"/>
    <w:rsid w:val="00F262BE"/>
    <w:rsid w:val="00F268AE"/>
    <w:rsid w:val="00F27217"/>
    <w:rsid w:val="00F27E85"/>
    <w:rsid w:val="00F304C6"/>
    <w:rsid w:val="00F30873"/>
    <w:rsid w:val="00F333AD"/>
    <w:rsid w:val="00F33596"/>
    <w:rsid w:val="00F345D3"/>
    <w:rsid w:val="00F34933"/>
    <w:rsid w:val="00F35895"/>
    <w:rsid w:val="00F36CD0"/>
    <w:rsid w:val="00F41B91"/>
    <w:rsid w:val="00F4317C"/>
    <w:rsid w:val="00F4430C"/>
    <w:rsid w:val="00F44BFA"/>
    <w:rsid w:val="00F47456"/>
    <w:rsid w:val="00F55531"/>
    <w:rsid w:val="00F575BD"/>
    <w:rsid w:val="00F65217"/>
    <w:rsid w:val="00F72B70"/>
    <w:rsid w:val="00F7355A"/>
    <w:rsid w:val="00F73FDE"/>
    <w:rsid w:val="00F74581"/>
    <w:rsid w:val="00F76FED"/>
    <w:rsid w:val="00F8254E"/>
    <w:rsid w:val="00F83611"/>
    <w:rsid w:val="00F84B04"/>
    <w:rsid w:val="00FA2FCD"/>
    <w:rsid w:val="00FA46C5"/>
    <w:rsid w:val="00FB174C"/>
    <w:rsid w:val="00FB1775"/>
    <w:rsid w:val="00FB5AF4"/>
    <w:rsid w:val="00FB7C93"/>
    <w:rsid w:val="00FC1E12"/>
    <w:rsid w:val="00FC392E"/>
    <w:rsid w:val="00FD57DD"/>
    <w:rsid w:val="00FD6C73"/>
    <w:rsid w:val="00FE0E90"/>
    <w:rsid w:val="00FE22B0"/>
    <w:rsid w:val="00FE363B"/>
    <w:rsid w:val="00FE5159"/>
    <w:rsid w:val="00FE5FE0"/>
    <w:rsid w:val="00FE6CD7"/>
    <w:rsid w:val="00FE6EF8"/>
    <w:rsid w:val="00FF04AD"/>
    <w:rsid w:val="00FF0C92"/>
    <w:rsid w:val="00FF66B2"/>
    <w:rsid w:val="00FF74CB"/>
    <w:rsid w:val="05B36653"/>
    <w:rsid w:val="05CC1BDF"/>
    <w:rsid w:val="0D3AA61C"/>
    <w:rsid w:val="0F170D59"/>
    <w:rsid w:val="150354D4"/>
    <w:rsid w:val="1CC560BB"/>
    <w:rsid w:val="1F1D6E6F"/>
    <w:rsid w:val="222F2C91"/>
    <w:rsid w:val="2E4AC854"/>
    <w:rsid w:val="3172B879"/>
    <w:rsid w:val="330CB019"/>
    <w:rsid w:val="3313E2B1"/>
    <w:rsid w:val="33699134"/>
    <w:rsid w:val="3C69416E"/>
    <w:rsid w:val="4816B165"/>
    <w:rsid w:val="4B21AE85"/>
    <w:rsid w:val="4EF32E5B"/>
    <w:rsid w:val="58927E98"/>
    <w:rsid w:val="5DF66248"/>
    <w:rsid w:val="606C5F57"/>
    <w:rsid w:val="66C0D928"/>
    <w:rsid w:val="7201AD2A"/>
    <w:rsid w:val="75332024"/>
    <w:rsid w:val="7589FD9E"/>
    <w:rsid w:val="77C159E9"/>
    <w:rsid w:val="79655A6E"/>
    <w:rsid w:val="7B3CF69C"/>
    <w:rsid w:val="7E276FF1"/>
    <w:rsid w:val="7FEC3D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FAAC7"/>
  <w15:docId w15:val="{E09AABE2-E7C8-4031-9F64-41F5A056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1A16E0"/>
    <w:pPr>
      <w:ind w:left="20"/>
      <w:outlineLvl w:val="0"/>
    </w:pPr>
    <w:rPr>
      <w:rFonts w:ascii="Arial" w:eastAsia="Calibri" w:hAnsi="Arial"/>
      <w:b/>
      <w:bCs/>
      <w:szCs w:val="24"/>
    </w:rPr>
  </w:style>
  <w:style w:type="paragraph" w:styleId="Heading2">
    <w:name w:val="heading 2"/>
    <w:basedOn w:val="Normal"/>
    <w:next w:val="Normal"/>
    <w:link w:val="Heading2Char"/>
    <w:uiPriority w:val="9"/>
    <w:unhideWhenUsed/>
    <w:qFormat/>
    <w:rsid w:val="00594C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3D94"/>
    <w:pPr>
      <w:tabs>
        <w:tab w:val="center" w:pos="4680"/>
        <w:tab w:val="right" w:pos="9360"/>
      </w:tabs>
    </w:pPr>
  </w:style>
  <w:style w:type="character" w:customStyle="1" w:styleId="HeaderChar">
    <w:name w:val="Header Char"/>
    <w:basedOn w:val="DefaultParagraphFont"/>
    <w:link w:val="Header"/>
    <w:uiPriority w:val="99"/>
    <w:rsid w:val="002B3D94"/>
  </w:style>
  <w:style w:type="paragraph" w:styleId="Footer">
    <w:name w:val="footer"/>
    <w:basedOn w:val="Normal"/>
    <w:link w:val="FooterChar"/>
    <w:uiPriority w:val="99"/>
    <w:unhideWhenUsed/>
    <w:rsid w:val="002B3D94"/>
    <w:pPr>
      <w:tabs>
        <w:tab w:val="center" w:pos="4680"/>
        <w:tab w:val="right" w:pos="9360"/>
      </w:tabs>
    </w:pPr>
  </w:style>
  <w:style w:type="character" w:customStyle="1" w:styleId="FooterChar">
    <w:name w:val="Footer Char"/>
    <w:basedOn w:val="DefaultParagraphFont"/>
    <w:link w:val="Footer"/>
    <w:uiPriority w:val="99"/>
    <w:rsid w:val="002B3D94"/>
  </w:style>
  <w:style w:type="paragraph" w:styleId="NormalWeb">
    <w:name w:val="Normal (Web)"/>
    <w:basedOn w:val="Normal"/>
    <w:uiPriority w:val="99"/>
    <w:semiHidden/>
    <w:unhideWhenUsed/>
    <w:rsid w:val="00F0654B"/>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67355"/>
    <w:pPr>
      <w:widowControl/>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34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55C"/>
    <w:rPr>
      <w:rFonts w:ascii="Segoe UI" w:hAnsi="Segoe UI" w:cs="Segoe UI"/>
      <w:sz w:val="18"/>
      <w:szCs w:val="18"/>
    </w:rPr>
  </w:style>
  <w:style w:type="character" w:styleId="CommentReference">
    <w:name w:val="annotation reference"/>
    <w:basedOn w:val="DefaultParagraphFont"/>
    <w:uiPriority w:val="99"/>
    <w:semiHidden/>
    <w:unhideWhenUsed/>
    <w:rsid w:val="00BD2565"/>
    <w:rPr>
      <w:sz w:val="16"/>
      <w:szCs w:val="16"/>
    </w:rPr>
  </w:style>
  <w:style w:type="paragraph" w:styleId="CommentText">
    <w:name w:val="annotation text"/>
    <w:basedOn w:val="Normal"/>
    <w:link w:val="CommentTextChar"/>
    <w:uiPriority w:val="99"/>
    <w:unhideWhenUsed/>
    <w:rsid w:val="00BD2565"/>
    <w:rPr>
      <w:sz w:val="20"/>
      <w:szCs w:val="20"/>
    </w:rPr>
  </w:style>
  <w:style w:type="character" w:customStyle="1" w:styleId="CommentTextChar">
    <w:name w:val="Comment Text Char"/>
    <w:basedOn w:val="DefaultParagraphFont"/>
    <w:link w:val="CommentText"/>
    <w:uiPriority w:val="99"/>
    <w:rsid w:val="00BD2565"/>
    <w:rPr>
      <w:sz w:val="20"/>
      <w:szCs w:val="20"/>
    </w:rPr>
  </w:style>
  <w:style w:type="paragraph" w:styleId="CommentSubject">
    <w:name w:val="annotation subject"/>
    <w:basedOn w:val="CommentText"/>
    <w:next w:val="CommentText"/>
    <w:link w:val="CommentSubjectChar"/>
    <w:uiPriority w:val="99"/>
    <w:semiHidden/>
    <w:unhideWhenUsed/>
    <w:rsid w:val="00BD2565"/>
    <w:rPr>
      <w:b/>
      <w:bCs/>
    </w:rPr>
  </w:style>
  <w:style w:type="character" w:customStyle="1" w:styleId="CommentSubjectChar">
    <w:name w:val="Comment Subject Char"/>
    <w:basedOn w:val="CommentTextChar"/>
    <w:link w:val="CommentSubject"/>
    <w:uiPriority w:val="99"/>
    <w:semiHidden/>
    <w:rsid w:val="00BD2565"/>
    <w:rPr>
      <w:b/>
      <w:bCs/>
      <w:sz w:val="20"/>
      <w:szCs w:val="20"/>
    </w:rPr>
  </w:style>
  <w:style w:type="paragraph" w:styleId="Revision">
    <w:name w:val="Revision"/>
    <w:hidden/>
    <w:uiPriority w:val="99"/>
    <w:semiHidden/>
    <w:rsid w:val="00835D3C"/>
    <w:pPr>
      <w:widowControl/>
    </w:pPr>
  </w:style>
  <w:style w:type="character" w:customStyle="1" w:styleId="BodyTextChar">
    <w:name w:val="Body Text Char"/>
    <w:basedOn w:val="DefaultParagraphFont"/>
    <w:link w:val="BodyText"/>
    <w:uiPriority w:val="1"/>
    <w:rsid w:val="001613D9"/>
    <w:rPr>
      <w:rFonts w:ascii="Calibri" w:eastAsia="Calibri" w:hAnsi="Calibri"/>
      <w:sz w:val="24"/>
      <w:szCs w:val="24"/>
    </w:rPr>
  </w:style>
  <w:style w:type="character" w:styleId="Hyperlink">
    <w:name w:val="Hyperlink"/>
    <w:basedOn w:val="DefaultParagraphFont"/>
    <w:uiPriority w:val="99"/>
    <w:unhideWhenUsed/>
    <w:rsid w:val="008F2DE2"/>
    <w:rPr>
      <w:color w:val="0000FF" w:themeColor="hyperlink"/>
      <w:u w:val="single"/>
    </w:rPr>
  </w:style>
  <w:style w:type="character" w:styleId="UnresolvedMention">
    <w:name w:val="Unresolved Mention"/>
    <w:basedOn w:val="DefaultParagraphFont"/>
    <w:uiPriority w:val="99"/>
    <w:semiHidden/>
    <w:unhideWhenUsed/>
    <w:rsid w:val="008F2DE2"/>
    <w:rPr>
      <w:color w:val="605E5C"/>
      <w:shd w:val="clear" w:color="auto" w:fill="E1DFDD"/>
    </w:rPr>
  </w:style>
  <w:style w:type="character" w:customStyle="1" w:styleId="Heading2Char">
    <w:name w:val="Heading 2 Char"/>
    <w:basedOn w:val="DefaultParagraphFont"/>
    <w:link w:val="Heading2"/>
    <w:uiPriority w:val="9"/>
    <w:rsid w:val="00594C7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A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85213">
      <w:bodyDiv w:val="1"/>
      <w:marLeft w:val="0"/>
      <w:marRight w:val="0"/>
      <w:marTop w:val="0"/>
      <w:marBottom w:val="0"/>
      <w:divBdr>
        <w:top w:val="none" w:sz="0" w:space="0" w:color="auto"/>
        <w:left w:val="none" w:sz="0" w:space="0" w:color="auto"/>
        <w:bottom w:val="none" w:sz="0" w:space="0" w:color="auto"/>
        <w:right w:val="none" w:sz="0" w:space="0" w:color="auto"/>
      </w:divBdr>
      <w:divsChild>
        <w:div w:id="978338965">
          <w:marLeft w:val="0"/>
          <w:marRight w:val="0"/>
          <w:marTop w:val="0"/>
          <w:marBottom w:val="0"/>
          <w:divBdr>
            <w:top w:val="none" w:sz="0" w:space="0" w:color="auto"/>
            <w:left w:val="none" w:sz="0" w:space="0" w:color="auto"/>
            <w:bottom w:val="none" w:sz="0" w:space="0" w:color="auto"/>
            <w:right w:val="none" w:sz="0" w:space="0" w:color="auto"/>
          </w:divBdr>
        </w:div>
        <w:div w:id="1077626656">
          <w:marLeft w:val="0"/>
          <w:marRight w:val="0"/>
          <w:marTop w:val="0"/>
          <w:marBottom w:val="0"/>
          <w:divBdr>
            <w:top w:val="none" w:sz="0" w:space="0" w:color="auto"/>
            <w:left w:val="none" w:sz="0" w:space="0" w:color="auto"/>
            <w:bottom w:val="none" w:sz="0" w:space="0" w:color="auto"/>
            <w:right w:val="none" w:sz="0" w:space="0" w:color="auto"/>
          </w:divBdr>
        </w:div>
        <w:div w:id="1197157862">
          <w:marLeft w:val="0"/>
          <w:marRight w:val="0"/>
          <w:marTop w:val="0"/>
          <w:marBottom w:val="0"/>
          <w:divBdr>
            <w:top w:val="none" w:sz="0" w:space="0" w:color="auto"/>
            <w:left w:val="none" w:sz="0" w:space="0" w:color="auto"/>
            <w:bottom w:val="none" w:sz="0" w:space="0" w:color="auto"/>
            <w:right w:val="none" w:sz="0" w:space="0" w:color="auto"/>
          </w:divBdr>
        </w:div>
        <w:div w:id="1906986575">
          <w:marLeft w:val="0"/>
          <w:marRight w:val="0"/>
          <w:marTop w:val="0"/>
          <w:marBottom w:val="0"/>
          <w:divBdr>
            <w:top w:val="none" w:sz="0" w:space="0" w:color="auto"/>
            <w:left w:val="none" w:sz="0" w:space="0" w:color="auto"/>
            <w:bottom w:val="none" w:sz="0" w:space="0" w:color="auto"/>
            <w:right w:val="none" w:sz="0" w:space="0" w:color="auto"/>
          </w:divBdr>
        </w:div>
        <w:div w:id="1925531809">
          <w:marLeft w:val="0"/>
          <w:marRight w:val="0"/>
          <w:marTop w:val="0"/>
          <w:marBottom w:val="0"/>
          <w:divBdr>
            <w:top w:val="none" w:sz="0" w:space="0" w:color="auto"/>
            <w:left w:val="none" w:sz="0" w:space="0" w:color="auto"/>
            <w:bottom w:val="none" w:sz="0" w:space="0" w:color="auto"/>
            <w:right w:val="none" w:sz="0" w:space="0" w:color="auto"/>
          </w:divBdr>
        </w:div>
      </w:divsChild>
    </w:div>
    <w:div w:id="1471049569">
      <w:bodyDiv w:val="1"/>
      <w:marLeft w:val="0"/>
      <w:marRight w:val="0"/>
      <w:marTop w:val="0"/>
      <w:marBottom w:val="0"/>
      <w:divBdr>
        <w:top w:val="none" w:sz="0" w:space="0" w:color="auto"/>
        <w:left w:val="none" w:sz="0" w:space="0" w:color="auto"/>
        <w:bottom w:val="none" w:sz="0" w:space="0" w:color="auto"/>
        <w:right w:val="none" w:sz="0" w:space="0" w:color="auto"/>
      </w:divBdr>
      <w:divsChild>
        <w:div w:id="254368065">
          <w:marLeft w:val="0"/>
          <w:marRight w:val="0"/>
          <w:marTop w:val="0"/>
          <w:marBottom w:val="0"/>
          <w:divBdr>
            <w:top w:val="none" w:sz="0" w:space="0" w:color="auto"/>
            <w:left w:val="none" w:sz="0" w:space="0" w:color="auto"/>
            <w:bottom w:val="none" w:sz="0" w:space="0" w:color="auto"/>
            <w:right w:val="none" w:sz="0" w:space="0" w:color="auto"/>
          </w:divBdr>
        </w:div>
        <w:div w:id="1112673723">
          <w:marLeft w:val="0"/>
          <w:marRight w:val="0"/>
          <w:marTop w:val="0"/>
          <w:marBottom w:val="0"/>
          <w:divBdr>
            <w:top w:val="none" w:sz="0" w:space="0" w:color="auto"/>
            <w:left w:val="none" w:sz="0" w:space="0" w:color="auto"/>
            <w:bottom w:val="none" w:sz="0" w:space="0" w:color="auto"/>
            <w:right w:val="none" w:sz="0" w:space="0" w:color="auto"/>
          </w:divBdr>
        </w:div>
      </w:divsChild>
    </w:div>
    <w:div w:id="1723556798">
      <w:bodyDiv w:val="1"/>
      <w:marLeft w:val="0"/>
      <w:marRight w:val="0"/>
      <w:marTop w:val="0"/>
      <w:marBottom w:val="0"/>
      <w:divBdr>
        <w:top w:val="none" w:sz="0" w:space="0" w:color="auto"/>
        <w:left w:val="none" w:sz="0" w:space="0" w:color="auto"/>
        <w:bottom w:val="none" w:sz="0" w:space="0" w:color="auto"/>
        <w:right w:val="none" w:sz="0" w:space="0" w:color="auto"/>
      </w:divBdr>
    </w:div>
    <w:div w:id="1759407166">
      <w:bodyDiv w:val="1"/>
      <w:marLeft w:val="0"/>
      <w:marRight w:val="0"/>
      <w:marTop w:val="0"/>
      <w:marBottom w:val="0"/>
      <w:divBdr>
        <w:top w:val="none" w:sz="0" w:space="0" w:color="auto"/>
        <w:left w:val="none" w:sz="0" w:space="0" w:color="auto"/>
        <w:bottom w:val="none" w:sz="0" w:space="0" w:color="auto"/>
        <w:right w:val="none" w:sz="0" w:space="0" w:color="auto"/>
      </w:divBdr>
    </w:div>
    <w:div w:id="2035383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336278-0556-40dc-ad1f-738db1cf740b">
      <Value>2771</Value>
      <Value>138</Value>
      <Value>151</Value>
    </TaxCatchAll>
    <TaxKeywordTaxHTField xmlns="7a336278-0556-40dc-ad1f-738db1cf740b">
      <Terms xmlns="http://schemas.microsoft.com/office/infopath/2007/PartnerControls">
        <TermInfo xmlns="http://schemas.microsoft.com/office/infopath/2007/PartnerControls">
          <TermName xmlns="http://schemas.microsoft.com/office/infopath/2007/PartnerControls">Statement of Basis 146-4ac (NAH)_FINAL</TermName>
          <TermId xmlns="http://schemas.microsoft.com/office/infopath/2007/PartnerControls">196f90c2-8c69-4d97-afd9-da4ae7c50bcb</TermId>
        </TermInfo>
      </Terms>
    </TaxKeywordTaxHTField>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CalGEM: Oil, Gas ＆ Geothermal</TermName>
          <TermId xmlns="http://schemas.microsoft.com/office/infopath/2007/PartnerControls">448500ef-ab46-4466-bf33-d2f098a4e3df</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s>
    </j60a74bcc51d4f538b779647a2a71aa6>
    <d98a67cd2c02468ea6d4be1da43b7176 xmlns="7a336278-0556-40dc-ad1f-738db1cf740b">
      <Terms xmlns="http://schemas.microsoft.com/office/infopath/2007/PartnerControls"/>
    </d98a67cd2c02468ea6d4be1da43b7176>
    <h477cce3d7f141d1945d07e5695f78ad xmlns="7a336278-0556-40dc-ad1f-738db1cf740b">
      <Terms xmlns="http://schemas.microsoft.com/office/infopath/2007/PartnerControls"/>
    </h477cce3d7f141d1945d07e5695f78a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381AC4274A4C9145A73D2D255A5CD52B" ma:contentTypeVersion="2" ma:contentTypeDescription="Used for general documents" ma:contentTypeScope="" ma:versionID="4088649ff5489d2e8bbfbf25a0c840d2">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F5400-5E19-40FC-BFF9-CA799855122B}">
  <ds:schemaRefs>
    <ds:schemaRef ds:uri="http://schemas.microsoft.com/office/2006/metadata/properties"/>
    <ds:schemaRef ds:uri="http://schemas.microsoft.com/office/infopath/2007/PartnerControls"/>
    <ds:schemaRef ds:uri="a3283313-66a5-4e8b-ac18-0db7c8376016"/>
    <ds:schemaRef ds:uri="d67fdb1e-c51f-4e52-8cfc-98c17703ea66"/>
  </ds:schemaRefs>
</ds:datastoreItem>
</file>

<file path=customXml/itemProps2.xml><?xml version="1.0" encoding="utf-8"?>
<ds:datastoreItem xmlns:ds="http://schemas.openxmlformats.org/officeDocument/2006/customXml" ds:itemID="{BCAC3CA8-929B-4E89-99BB-8DE0B383A530}">
  <ds:schemaRefs>
    <ds:schemaRef ds:uri="http://schemas.openxmlformats.org/officeDocument/2006/bibliography"/>
  </ds:schemaRefs>
</ds:datastoreItem>
</file>

<file path=customXml/itemProps3.xml><?xml version="1.0" encoding="utf-8"?>
<ds:datastoreItem xmlns:ds="http://schemas.openxmlformats.org/officeDocument/2006/customXml" ds:itemID="{A9BC7851-A0C7-4082-8E0E-46FC7361946C}">
  <ds:schemaRefs>
    <ds:schemaRef ds:uri="http://schemas.microsoft.com/sharepoint/v3/contenttype/forms"/>
  </ds:schemaRefs>
</ds:datastoreItem>
</file>

<file path=customXml/itemProps4.xml><?xml version="1.0" encoding="utf-8"?>
<ds:datastoreItem xmlns:ds="http://schemas.openxmlformats.org/officeDocument/2006/customXml" ds:itemID="{C3830924-6EBA-462F-AA1E-7C2C6B7EA0AD}"/>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63</TotalTime>
  <Pages>8</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Conservation</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Basis 146-4ac (NAH)_FINAL</dc:title>
  <dc:subject/>
  <dc:creator>Windows User</dc:creator>
  <cp:keywords>Statement of Basis 146-4ac (NAH)_FINAL</cp:keywords>
  <cp:lastModifiedBy>Castellanos, Daxton@DOC</cp:lastModifiedBy>
  <cp:revision>17</cp:revision>
  <cp:lastPrinted>2016-07-25T14:02:00Z</cp:lastPrinted>
  <dcterms:created xsi:type="dcterms:W3CDTF">2026-06-01T23:24:00Z</dcterms:created>
  <dcterms:modified xsi:type="dcterms:W3CDTF">2026-06-02T17:12:00Z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2015-12-01T00:00:00Z</vt:filetime>
  </property>
  <property fmtid="{D5CDD505-2E9C-101B-9397-08002B2CF9AE}" pid="3" name="LastSaved">
    <vt:filetime>2016-04-18T00:00:00Z</vt:filetime>
  </property>
  <property fmtid="{D5CDD505-2E9C-101B-9397-08002B2CF9AE}" pid="4" name="ContentTypeId">
    <vt:lpwstr>0x010100B5E723BB7F66412298F94789433FE2AA040100381AC4274A4C9145A73D2D255A5CD52B</vt:lpwstr>
  </property>
  <property fmtid="{D5CDD505-2E9C-101B-9397-08002B2CF9AE}" pid="5" name="MediaServiceImageTags">
    <vt:lpwstr/>
  </property>
  <property fmtid="{D5CDD505-2E9C-101B-9397-08002B2CF9AE}" pid="6" name="TaxKeyword">
    <vt:lpwstr>2771;#Statement of Basis 146-4ac (NAH)_FINAL|196f90c2-8c69-4d97-afd9-da4ae7c50bcb</vt:lpwstr>
  </property>
  <property fmtid="{D5CDD505-2E9C-101B-9397-08002B2CF9AE}" pid="7" name="DWQ_Unit">
    <vt:lpwstr/>
  </property>
  <property fmtid="{D5CDD505-2E9C-101B-9397-08002B2CF9AE}" pid="8" name="DWQ_Projects">
    <vt:lpwstr/>
  </property>
  <property fmtid="{D5CDD505-2E9C-101B-9397-08002B2CF9AE}" pid="9" name="fb9d32e1f1b24068b86bc25aa271323a">
    <vt:lpwstr/>
  </property>
  <property fmtid="{D5CDD505-2E9C-101B-9397-08002B2CF9AE}" pid="10" name="j588655bf2f648ad949e9e756f848d6a">
    <vt:lpwstr/>
  </property>
  <property fmtid="{D5CDD505-2E9C-101B-9397-08002B2CF9AE}" pid="11" name="DWQ_DocType">
    <vt:lpwstr/>
  </property>
  <property fmtid="{D5CDD505-2E9C-101B-9397-08002B2CF9AE}" pid="12" name="g9caa3f1f2e244bc8e042fdb9640a251">
    <vt:lpwstr/>
  </property>
  <property fmtid="{D5CDD505-2E9C-101B-9397-08002B2CF9AE}" pid="13" name="DWQ_Section">
    <vt:lpwstr/>
  </property>
  <property fmtid="{D5CDD505-2E9C-101B-9397-08002B2CF9AE}" pid="14" name="d05f9ddbbf90433f9defeae7b3463abc">
    <vt:lpwstr/>
  </property>
  <property fmtid="{D5CDD505-2E9C-101B-9397-08002B2CF9AE}" pid="15" name="docLang">
    <vt:lpwstr>en</vt:lpwstr>
  </property>
  <property fmtid="{D5CDD505-2E9C-101B-9397-08002B2CF9AE}" pid="16" name="scTopics">
    <vt:lpwstr/>
  </property>
  <property fmtid="{D5CDD505-2E9C-101B-9397-08002B2CF9AE}" pid="17" name="scDivision">
    <vt:lpwstr>151;#CalGEM: Oil, Gas ＆ Geothermal|448500ef-ab46-4466-bf33-d2f098a4e3df</vt:lpwstr>
  </property>
  <property fmtid="{D5CDD505-2E9C-101B-9397-08002B2CF9AE}" pid="18" name="scSubAudiences">
    <vt:lpwstr/>
  </property>
  <property fmtid="{D5CDD505-2E9C-101B-9397-08002B2CF9AE}" pid="19" name="scInformationFor">
    <vt:lpwstr>138;#Government ＆ Partner Agencies|3cfbdcf6-b60a-473b-86c0-e52a5fa2093d</vt:lpwstr>
  </property>
</Properties>
</file>